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76A7" w14:textId="0A9BEF5C" w:rsidR="009D4BAD" w:rsidRPr="009D4BAD" w:rsidRDefault="009D4BAD" w:rsidP="009D4BAD">
      <w:pPr>
        <w:rPr>
          <w:rFonts w:cs="Times New Roman"/>
          <w:b/>
          <w:bCs/>
          <w:sz w:val="32"/>
          <w:szCs w:val="32"/>
        </w:rPr>
      </w:pPr>
      <w:r w:rsidRPr="009D4BAD">
        <w:rPr>
          <w:rFonts w:cs="Times New Roman"/>
          <w:b/>
          <w:bCs/>
          <w:sz w:val="32"/>
          <w:szCs w:val="32"/>
        </w:rPr>
        <w:t xml:space="preserve">Homily for </w:t>
      </w:r>
      <w:r w:rsidR="005B6FFE">
        <w:rPr>
          <w:rFonts w:cs="Times New Roman"/>
          <w:b/>
          <w:bCs/>
          <w:sz w:val="32"/>
          <w:szCs w:val="32"/>
        </w:rPr>
        <w:t xml:space="preserve">Monday </w:t>
      </w:r>
      <w:r w:rsidRPr="009D4BAD">
        <w:rPr>
          <w:rFonts w:cs="Times New Roman"/>
          <w:b/>
          <w:bCs/>
          <w:sz w:val="32"/>
          <w:szCs w:val="32"/>
        </w:rPr>
        <w:t xml:space="preserve">in the </w:t>
      </w:r>
      <w:r w:rsidR="005B6FFE">
        <w:rPr>
          <w:rFonts w:cs="Times New Roman"/>
          <w:b/>
          <w:bCs/>
          <w:sz w:val="32"/>
          <w:szCs w:val="32"/>
        </w:rPr>
        <w:t>Fifth</w:t>
      </w:r>
      <w:r w:rsidRPr="009D4BAD">
        <w:rPr>
          <w:rFonts w:cs="Times New Roman"/>
          <w:b/>
          <w:bCs/>
          <w:sz w:val="32"/>
          <w:szCs w:val="32"/>
        </w:rPr>
        <w:t xml:space="preserve"> Week of Lent</w:t>
      </w:r>
      <w:r w:rsidR="00C57D0A">
        <w:rPr>
          <w:rFonts w:cs="Times New Roman"/>
          <w:b/>
          <w:bCs/>
          <w:sz w:val="32"/>
          <w:szCs w:val="32"/>
        </w:rPr>
        <w:t>, M</w:t>
      </w:r>
      <w:r w:rsidRPr="009D4BAD">
        <w:rPr>
          <w:rFonts w:cs="Times New Roman"/>
          <w:b/>
          <w:bCs/>
          <w:sz w:val="32"/>
          <w:szCs w:val="32"/>
        </w:rPr>
        <w:t xml:space="preserve">arch </w:t>
      </w:r>
      <w:r w:rsidR="0013502E">
        <w:rPr>
          <w:rFonts w:cs="Times New Roman"/>
          <w:b/>
          <w:bCs/>
          <w:sz w:val="32"/>
          <w:szCs w:val="32"/>
        </w:rPr>
        <w:t>30</w:t>
      </w:r>
      <w:r w:rsidRPr="009D4BAD">
        <w:rPr>
          <w:rFonts w:cs="Times New Roman"/>
          <w:b/>
          <w:bCs/>
          <w:sz w:val="32"/>
          <w:szCs w:val="32"/>
        </w:rPr>
        <w:t>, 2020</w:t>
      </w:r>
    </w:p>
    <w:p w14:paraId="2CC19DEA" w14:textId="77777777" w:rsidR="009D4BAD" w:rsidRPr="009D4BAD" w:rsidRDefault="009D4BAD" w:rsidP="009D4BAD">
      <w:pPr>
        <w:rPr>
          <w:rFonts w:cs="Times New Roman"/>
          <w:b/>
          <w:bCs/>
          <w:sz w:val="32"/>
          <w:szCs w:val="32"/>
        </w:rPr>
      </w:pPr>
      <w:r w:rsidRPr="009D4BAD">
        <w:rPr>
          <w:rFonts w:cs="Times New Roman"/>
          <w:b/>
          <w:bCs/>
          <w:sz w:val="32"/>
          <w:szCs w:val="32"/>
        </w:rPr>
        <w:t>The Holy Eucharist</w:t>
      </w:r>
    </w:p>
    <w:p w14:paraId="1AD3EB28" w14:textId="77777777" w:rsidR="009D4BAD" w:rsidRPr="009D4BAD" w:rsidRDefault="009D4BAD" w:rsidP="009D4BAD">
      <w:pPr>
        <w:rPr>
          <w:rFonts w:cs="Times New Roman"/>
          <w:b/>
          <w:bCs/>
          <w:sz w:val="28"/>
          <w:szCs w:val="28"/>
        </w:rPr>
      </w:pPr>
      <w:r w:rsidRPr="009D4BAD">
        <w:rPr>
          <w:rFonts w:cs="Times New Roman"/>
          <w:b/>
          <w:bCs/>
          <w:sz w:val="28"/>
          <w:szCs w:val="28"/>
        </w:rPr>
        <w:t>By the Reverend Stephen Gerth</w:t>
      </w:r>
    </w:p>
    <w:p w14:paraId="5169FC02" w14:textId="77777777" w:rsidR="0013502E" w:rsidRPr="0013502E" w:rsidRDefault="0013502E" w:rsidP="0013502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13502E">
        <w:rPr>
          <w:i/>
          <w:iCs/>
          <w:sz w:val="28"/>
          <w:szCs w:val="28"/>
        </w:rPr>
        <w:t xml:space="preserve">Susanna </w:t>
      </w:r>
      <w:r w:rsidRPr="0013502E">
        <w:rPr>
          <w:i/>
          <w:iCs/>
          <w:sz w:val="28"/>
          <w:szCs w:val="24"/>
        </w:rPr>
        <w:t>41–62*;</w:t>
      </w:r>
      <w:r w:rsidRPr="0013502E">
        <w:rPr>
          <w:i/>
          <w:iCs/>
          <w:sz w:val="28"/>
          <w:szCs w:val="28"/>
        </w:rPr>
        <w:t xml:space="preserve"> Psalm 23; John 8:1–11</w:t>
      </w:r>
    </w:p>
    <w:p w14:paraId="1C192F52" w14:textId="48D1D397" w:rsidR="009D4BAD" w:rsidRDefault="009D4BAD" w:rsidP="009D4BAD">
      <w:pPr>
        <w:rPr>
          <w:rFonts w:cs="Times New Roman"/>
          <w:sz w:val="44"/>
          <w:szCs w:val="44"/>
        </w:rPr>
      </w:pPr>
    </w:p>
    <w:p w14:paraId="34AF2A16" w14:textId="4DB5310B" w:rsidR="00517611" w:rsidRPr="004C4A7D" w:rsidRDefault="00517611" w:rsidP="000064EE">
      <w:pPr>
        <w:rPr>
          <w:rFonts w:cs="Times New Roman"/>
          <w:i/>
          <w:iCs/>
          <w:sz w:val="44"/>
          <w:szCs w:val="44"/>
        </w:rPr>
      </w:pPr>
      <w:r>
        <w:rPr>
          <w:rFonts w:cs="Times New Roman"/>
          <w:sz w:val="44"/>
          <w:szCs w:val="44"/>
        </w:rPr>
        <w:t xml:space="preserve">Last November, when I was reviewing the lessons for the Daily Office in Advent, I realized for the first time, that though the we </w:t>
      </w:r>
      <w:r w:rsidR="004C4A7D">
        <w:rPr>
          <w:rFonts w:cs="Times New Roman"/>
          <w:sz w:val="44"/>
          <w:szCs w:val="44"/>
        </w:rPr>
        <w:t xml:space="preserve">would be </w:t>
      </w:r>
      <w:r>
        <w:rPr>
          <w:rFonts w:cs="Times New Roman"/>
          <w:sz w:val="44"/>
          <w:szCs w:val="44"/>
        </w:rPr>
        <w:t>reading Luke in Year One</w:t>
      </w:r>
      <w:r w:rsidR="004C4A7D">
        <w:rPr>
          <w:rFonts w:cs="Times New Roman"/>
          <w:sz w:val="44"/>
          <w:szCs w:val="44"/>
        </w:rPr>
        <w:t xml:space="preserve"> in Advent</w:t>
      </w:r>
      <w:r>
        <w:rPr>
          <w:rFonts w:cs="Times New Roman"/>
          <w:sz w:val="44"/>
          <w:szCs w:val="44"/>
        </w:rPr>
        <w:t xml:space="preserve">, today’s gospel, which I’ve always thought as </w:t>
      </w:r>
      <w:r w:rsidR="004C4A7D">
        <w:rPr>
          <w:rFonts w:cs="Times New Roman"/>
          <w:sz w:val="44"/>
          <w:szCs w:val="44"/>
        </w:rPr>
        <w:t xml:space="preserve">belonging to </w:t>
      </w:r>
      <w:r>
        <w:rPr>
          <w:rFonts w:cs="Times New Roman"/>
          <w:sz w:val="44"/>
          <w:szCs w:val="44"/>
        </w:rPr>
        <w:t>John, was appointed for Wednesday in the Week of 2 Advent.</w:t>
      </w:r>
      <w:r>
        <w:rPr>
          <w:rStyle w:val="FootnoteReference"/>
          <w:rFonts w:cs="Times New Roman"/>
          <w:sz w:val="44"/>
          <w:szCs w:val="44"/>
        </w:rPr>
        <w:footnoteReference w:id="1"/>
      </w:r>
      <w:r w:rsidR="000064EE">
        <w:rPr>
          <w:rFonts w:cs="Times New Roman"/>
          <w:sz w:val="44"/>
          <w:szCs w:val="44"/>
        </w:rPr>
        <w:t xml:space="preserve"> I had never noticed when reading John or Luke </w:t>
      </w:r>
      <w:r w:rsidR="004C4A7D">
        <w:rPr>
          <w:rFonts w:cs="Times New Roman"/>
          <w:sz w:val="44"/>
          <w:szCs w:val="44"/>
        </w:rPr>
        <w:t xml:space="preserve">in one of my annotated Bibles </w:t>
      </w:r>
      <w:r w:rsidR="000064EE">
        <w:rPr>
          <w:rFonts w:cs="Times New Roman"/>
          <w:sz w:val="44"/>
          <w:szCs w:val="44"/>
        </w:rPr>
        <w:t>that there’s a note</w:t>
      </w:r>
      <w:r w:rsidR="004C4A7D">
        <w:rPr>
          <w:rFonts w:cs="Times New Roman"/>
          <w:sz w:val="44"/>
          <w:szCs w:val="44"/>
        </w:rPr>
        <w:t xml:space="preserve"> attached to this passage in </w:t>
      </w:r>
      <w:r w:rsidR="00C57D0A">
        <w:rPr>
          <w:rFonts w:cs="Times New Roman"/>
          <w:sz w:val="44"/>
          <w:szCs w:val="44"/>
        </w:rPr>
        <w:t>both gospels</w:t>
      </w:r>
      <w:r w:rsidR="000064EE">
        <w:rPr>
          <w:rFonts w:cs="Times New Roman"/>
          <w:sz w:val="44"/>
          <w:szCs w:val="44"/>
        </w:rPr>
        <w:t xml:space="preserve">. This is from the </w:t>
      </w:r>
      <w:r w:rsidR="000064EE" w:rsidRPr="004C4A7D">
        <w:rPr>
          <w:rFonts w:cs="Times New Roman"/>
          <w:i/>
          <w:iCs/>
          <w:sz w:val="44"/>
          <w:szCs w:val="44"/>
        </w:rPr>
        <w:t>New Revised Standard Version:</w:t>
      </w:r>
    </w:p>
    <w:p w14:paraId="3D0C830E" w14:textId="240C92EB" w:rsidR="000064EE" w:rsidRDefault="000064EE" w:rsidP="000064EE">
      <w:pPr>
        <w:rPr>
          <w:rFonts w:cs="Times New Roman"/>
          <w:sz w:val="44"/>
          <w:szCs w:val="44"/>
        </w:rPr>
      </w:pPr>
    </w:p>
    <w:p w14:paraId="116D0B41" w14:textId="349C097E" w:rsidR="000064EE" w:rsidRDefault="000064EE" w:rsidP="00C57D0A">
      <w:pPr>
        <w:rPr>
          <w:rFonts w:cs="Times New Roman"/>
          <w:sz w:val="44"/>
          <w:szCs w:val="44"/>
        </w:rPr>
      </w:pPr>
      <w:r w:rsidRPr="00C57D0A">
        <w:rPr>
          <w:rFonts w:cs="Times New Roman"/>
          <w:i/>
          <w:sz w:val="44"/>
          <w:szCs w:val="44"/>
        </w:rPr>
        <w:t xml:space="preserve">The most ancient authorities lack [John] 7:53–8:11; other authorities </w:t>
      </w:r>
      <w:r w:rsidR="004C4A7D" w:rsidRPr="00C57D0A">
        <w:rPr>
          <w:rFonts w:cs="Times New Roman"/>
          <w:i/>
          <w:sz w:val="44"/>
          <w:szCs w:val="44"/>
        </w:rPr>
        <w:t xml:space="preserve">add </w:t>
      </w:r>
      <w:r w:rsidRPr="00C57D0A">
        <w:rPr>
          <w:rFonts w:cs="Times New Roman"/>
          <w:i/>
          <w:sz w:val="44"/>
          <w:szCs w:val="44"/>
        </w:rPr>
        <w:t xml:space="preserve">the passage here or after John 7:36 or after </w:t>
      </w:r>
      <w:r w:rsidR="004C4A7D" w:rsidRPr="00C57D0A">
        <w:rPr>
          <w:rFonts w:cs="Times New Roman"/>
          <w:i/>
          <w:sz w:val="44"/>
          <w:szCs w:val="44"/>
        </w:rPr>
        <w:t xml:space="preserve">[John] </w:t>
      </w:r>
      <w:r w:rsidRPr="00C57D0A">
        <w:rPr>
          <w:rFonts w:cs="Times New Roman"/>
          <w:i/>
          <w:sz w:val="44"/>
          <w:szCs w:val="44"/>
        </w:rPr>
        <w:t>21:25 or after Luke 21:38, with variations of text; some [authorities] mark the passage as doubtful.</w:t>
      </w:r>
      <w:r w:rsidR="00E32883">
        <w:rPr>
          <w:rStyle w:val="FootnoteReference"/>
          <w:rFonts w:cs="Times New Roman"/>
          <w:sz w:val="44"/>
          <w:szCs w:val="44"/>
        </w:rPr>
        <w:footnoteReference w:id="2"/>
      </w:r>
    </w:p>
    <w:p w14:paraId="60175418" w14:textId="1562D7F3" w:rsidR="00E32883" w:rsidRDefault="00E32883" w:rsidP="000064EE">
      <w:pPr>
        <w:rPr>
          <w:rFonts w:cs="Times New Roman"/>
          <w:sz w:val="44"/>
          <w:szCs w:val="44"/>
        </w:rPr>
      </w:pPr>
    </w:p>
    <w:p w14:paraId="0C034E43" w14:textId="7CCCBEAC" w:rsidR="00E32883" w:rsidRDefault="00E32883" w:rsidP="000064EE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Raymond Brown in his </w:t>
      </w:r>
      <w:r w:rsidRPr="00E32883">
        <w:rPr>
          <w:rFonts w:cs="Times New Roman"/>
          <w:i/>
          <w:iCs/>
          <w:sz w:val="44"/>
          <w:szCs w:val="44"/>
        </w:rPr>
        <w:t>An Introduction to the New Testament</w:t>
      </w:r>
      <w:r>
        <w:rPr>
          <w:rFonts w:cs="Times New Roman"/>
          <w:sz w:val="44"/>
          <w:szCs w:val="44"/>
        </w:rPr>
        <w:t xml:space="preserve"> </w:t>
      </w:r>
      <w:r w:rsidR="004C4A7D">
        <w:rPr>
          <w:rFonts w:cs="Times New Roman"/>
          <w:sz w:val="44"/>
          <w:szCs w:val="44"/>
        </w:rPr>
        <w:t xml:space="preserve">wrote </w:t>
      </w:r>
      <w:r>
        <w:rPr>
          <w:rFonts w:cs="Times New Roman"/>
          <w:sz w:val="44"/>
          <w:szCs w:val="44"/>
        </w:rPr>
        <w:t>that, though canonical, “almost certainly it is out of context here in John.”</w:t>
      </w:r>
      <w:r>
        <w:rPr>
          <w:rStyle w:val="FootnoteReference"/>
          <w:rFonts w:cs="Times New Roman"/>
          <w:sz w:val="44"/>
          <w:szCs w:val="44"/>
        </w:rPr>
        <w:footnoteReference w:id="3"/>
      </w:r>
      <w:r w:rsidR="00BF3906">
        <w:rPr>
          <w:rFonts w:cs="Times New Roman"/>
          <w:sz w:val="44"/>
          <w:szCs w:val="44"/>
        </w:rPr>
        <w:t xml:space="preserve"> He </w:t>
      </w:r>
      <w:r w:rsidR="00BF3906">
        <w:rPr>
          <w:rFonts w:cs="Times New Roman"/>
          <w:sz w:val="44"/>
          <w:szCs w:val="44"/>
        </w:rPr>
        <w:lastRenderedPageBreak/>
        <w:t>suggests that the story may have “traveled independently of the four Gospels and could not be included until there was a change in the church’s reluctance to forgive adultery.”</w:t>
      </w:r>
      <w:r w:rsidR="00BF3906">
        <w:rPr>
          <w:rStyle w:val="FootnoteReference"/>
          <w:rFonts w:cs="Times New Roman"/>
          <w:sz w:val="44"/>
          <w:szCs w:val="44"/>
        </w:rPr>
        <w:footnoteReference w:id="4"/>
      </w:r>
      <w:r w:rsidR="00BF3906">
        <w:rPr>
          <w:rFonts w:cs="Times New Roman"/>
          <w:sz w:val="44"/>
          <w:szCs w:val="44"/>
        </w:rPr>
        <w:t xml:space="preserve"> </w:t>
      </w:r>
    </w:p>
    <w:p w14:paraId="4FBE8BB7" w14:textId="5C02CAF0" w:rsidR="00BF3906" w:rsidRDefault="00BF3906" w:rsidP="000064EE">
      <w:pPr>
        <w:rPr>
          <w:rFonts w:cs="Times New Roman"/>
          <w:sz w:val="44"/>
          <w:szCs w:val="44"/>
        </w:rPr>
      </w:pPr>
    </w:p>
    <w:p w14:paraId="537F3938" w14:textId="4960C4F1" w:rsidR="00BF3906" w:rsidRDefault="00BF3906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Confession: when I came across this last fall, my first thought was </w:t>
      </w:r>
      <w:r w:rsidR="00C57D0A">
        <w:rPr>
          <w:rFonts w:cs="Times New Roman"/>
          <w:sz w:val="44"/>
          <w:szCs w:val="44"/>
        </w:rPr>
        <w:t xml:space="preserve">that </w:t>
      </w:r>
      <w:r>
        <w:rPr>
          <w:rFonts w:cs="Times New Roman"/>
          <w:sz w:val="44"/>
          <w:szCs w:val="44"/>
        </w:rPr>
        <w:t xml:space="preserve">the lectionary editors </w:t>
      </w:r>
      <w:r w:rsidR="004C4A7D">
        <w:rPr>
          <w:rFonts w:cs="Times New Roman"/>
          <w:sz w:val="44"/>
          <w:szCs w:val="44"/>
        </w:rPr>
        <w:t xml:space="preserve">were </w:t>
      </w:r>
      <w:r>
        <w:rPr>
          <w:rFonts w:cs="Times New Roman"/>
          <w:sz w:val="44"/>
          <w:szCs w:val="44"/>
        </w:rPr>
        <w:t>playing fast and loose with the gospel</w:t>
      </w:r>
      <w:r w:rsidR="00C57D0A">
        <w:rPr>
          <w:rFonts w:cs="Times New Roman"/>
          <w:sz w:val="44"/>
          <w:szCs w:val="44"/>
        </w:rPr>
        <w:t>—or trying to teach me something</w:t>
      </w:r>
      <w:r>
        <w:rPr>
          <w:rFonts w:cs="Times New Roman"/>
          <w:sz w:val="44"/>
          <w:szCs w:val="44"/>
        </w:rPr>
        <w:t>?</w:t>
      </w:r>
      <w:r w:rsidR="004C4A7D">
        <w:rPr>
          <w:rFonts w:cs="Times New Roman"/>
          <w:sz w:val="44"/>
          <w:szCs w:val="44"/>
        </w:rPr>
        <w:t xml:space="preserve"> T</w:t>
      </w:r>
      <w:r w:rsidRPr="00BF3906">
        <w:rPr>
          <w:rFonts w:cs="Times New Roman"/>
          <w:sz w:val="44"/>
          <w:szCs w:val="44"/>
        </w:rPr>
        <w:t xml:space="preserve">he relevant proverb </w:t>
      </w:r>
      <w:r w:rsidR="004C4A7D">
        <w:rPr>
          <w:rFonts w:cs="Times New Roman"/>
          <w:sz w:val="44"/>
          <w:szCs w:val="44"/>
        </w:rPr>
        <w:t>for my spiritual state in that moment</w:t>
      </w:r>
      <w:r w:rsidRPr="00BF3906">
        <w:rPr>
          <w:rFonts w:cs="Times New Roman"/>
          <w:sz w:val="44"/>
          <w:szCs w:val="44"/>
        </w:rPr>
        <w:t xml:space="preserve">, </w:t>
      </w:r>
      <w:r w:rsidR="004C4A7D">
        <w:rPr>
          <w:rFonts w:cs="Times New Roman"/>
          <w:sz w:val="44"/>
          <w:szCs w:val="44"/>
        </w:rPr>
        <w:t xml:space="preserve">in the language of the King James Version of </w:t>
      </w:r>
      <w:r w:rsidR="004C4A7D" w:rsidRPr="00BF3906">
        <w:rPr>
          <w:rFonts w:cs="Times New Roman"/>
          <w:sz w:val="44"/>
          <w:szCs w:val="44"/>
        </w:rPr>
        <w:t xml:space="preserve">the Bible, </w:t>
      </w:r>
      <w:r w:rsidR="004C4A7D">
        <w:rPr>
          <w:rFonts w:cs="Times New Roman"/>
          <w:sz w:val="44"/>
          <w:szCs w:val="44"/>
        </w:rPr>
        <w:t xml:space="preserve">is, </w:t>
      </w:r>
      <w:r w:rsidRPr="00BF3906">
        <w:rPr>
          <w:rFonts w:cs="Times New Roman"/>
          <w:sz w:val="44"/>
          <w:szCs w:val="44"/>
        </w:rPr>
        <w:t>“</w:t>
      </w:r>
      <w:r w:rsidRPr="00BF3906">
        <w:rPr>
          <w:sz w:val="44"/>
          <w:szCs w:val="44"/>
        </w:rPr>
        <w:t>Pride goeth before destruction, and an haughty spirit before a fall.</w:t>
      </w:r>
      <w:r>
        <w:rPr>
          <w:sz w:val="44"/>
          <w:szCs w:val="44"/>
        </w:rPr>
        <w:t>”</w:t>
      </w:r>
      <w:r>
        <w:rPr>
          <w:rStyle w:val="FootnoteReference"/>
          <w:sz w:val="44"/>
          <w:szCs w:val="44"/>
        </w:rPr>
        <w:footnoteReference w:id="5"/>
      </w:r>
      <w:r>
        <w:rPr>
          <w:sz w:val="44"/>
          <w:szCs w:val="44"/>
        </w:rPr>
        <w:t xml:space="preserve"> </w:t>
      </w:r>
      <w:r w:rsidR="004C4A7D">
        <w:rPr>
          <w:rFonts w:cs="Times New Roman"/>
          <w:sz w:val="44"/>
          <w:szCs w:val="44"/>
        </w:rPr>
        <w:t>I</w:t>
      </w:r>
      <w:r>
        <w:rPr>
          <w:rFonts w:cs="Times New Roman"/>
          <w:sz w:val="44"/>
          <w:szCs w:val="44"/>
        </w:rPr>
        <w:t>n St. Benedicts’ Rule for Monasteries, his chapter on the twelve degrees of humility takes 16 days to read—the whole rule is read three times through a year.</w:t>
      </w:r>
      <w:r w:rsidR="00110406">
        <w:rPr>
          <w:rStyle w:val="FootnoteReference"/>
          <w:rFonts w:cs="Times New Roman"/>
          <w:sz w:val="44"/>
          <w:szCs w:val="44"/>
        </w:rPr>
        <w:footnoteReference w:id="6"/>
      </w:r>
      <w:r>
        <w:rPr>
          <w:rFonts w:cs="Times New Roman"/>
          <w:sz w:val="44"/>
          <w:szCs w:val="44"/>
        </w:rPr>
        <w:t xml:space="preserve"> </w:t>
      </w:r>
      <w:r w:rsidR="004C4A7D">
        <w:rPr>
          <w:rFonts w:cs="Times New Roman"/>
          <w:sz w:val="44"/>
          <w:szCs w:val="44"/>
        </w:rPr>
        <w:t xml:space="preserve">The journey of </w:t>
      </w:r>
      <w:r w:rsidR="00110406">
        <w:rPr>
          <w:rFonts w:cs="Times New Roman"/>
          <w:sz w:val="44"/>
          <w:szCs w:val="44"/>
        </w:rPr>
        <w:t>Christian life and practice, in or outside of religious communities, is a school of humility.</w:t>
      </w:r>
    </w:p>
    <w:p w14:paraId="0B8A955D" w14:textId="5E90CA41" w:rsidR="00110406" w:rsidRDefault="00110406">
      <w:pPr>
        <w:rPr>
          <w:rFonts w:cs="Times New Roman"/>
          <w:sz w:val="44"/>
          <w:szCs w:val="44"/>
        </w:rPr>
      </w:pPr>
    </w:p>
    <w:p w14:paraId="73AC05AA" w14:textId="6FA243EA" w:rsidR="00110406" w:rsidRDefault="004C4A7D" w:rsidP="0060079F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Now t</w:t>
      </w:r>
      <w:r w:rsidR="00110406">
        <w:rPr>
          <w:rFonts w:cs="Times New Roman"/>
          <w:sz w:val="44"/>
          <w:szCs w:val="44"/>
        </w:rPr>
        <w:t>he first reading</w:t>
      </w:r>
      <w:r w:rsidR="00C57D0A">
        <w:rPr>
          <w:rFonts w:cs="Times New Roman"/>
          <w:sz w:val="44"/>
          <w:szCs w:val="44"/>
        </w:rPr>
        <w:t xml:space="preserve">, the story of Susanna, </w:t>
      </w:r>
      <w:r w:rsidR="00110406">
        <w:rPr>
          <w:rFonts w:cs="Times New Roman"/>
          <w:sz w:val="44"/>
          <w:szCs w:val="44"/>
        </w:rPr>
        <w:t>has a really complicated history. It’s a Greek text, never a Hebrew Scripture, but it was a Jewish pre-Christian story, one of the legends about the prophet Daniel.</w:t>
      </w:r>
      <w:r w:rsidR="00110406">
        <w:rPr>
          <w:rStyle w:val="FootnoteReference"/>
          <w:rFonts w:cs="Times New Roman"/>
          <w:sz w:val="44"/>
          <w:szCs w:val="44"/>
        </w:rPr>
        <w:footnoteReference w:id="7"/>
      </w:r>
      <w:r w:rsidR="00110406">
        <w:rPr>
          <w:rFonts w:cs="Times New Roman"/>
          <w:sz w:val="44"/>
          <w:szCs w:val="44"/>
        </w:rPr>
        <w:t xml:space="preserve"> In </w:t>
      </w:r>
      <w:r w:rsidR="00110406">
        <w:rPr>
          <w:rFonts w:cs="Times New Roman"/>
          <w:sz w:val="44"/>
          <w:szCs w:val="44"/>
        </w:rPr>
        <w:lastRenderedPageBreak/>
        <w:t xml:space="preserve">a Roman Catholic </w:t>
      </w:r>
      <w:r w:rsidR="00C57D0A">
        <w:rPr>
          <w:rFonts w:cs="Times New Roman"/>
          <w:sz w:val="44"/>
          <w:szCs w:val="44"/>
        </w:rPr>
        <w:t>B</w:t>
      </w:r>
      <w:r w:rsidR="00110406">
        <w:rPr>
          <w:rFonts w:cs="Times New Roman"/>
          <w:sz w:val="44"/>
          <w:szCs w:val="44"/>
        </w:rPr>
        <w:t>ible</w:t>
      </w:r>
      <w:r w:rsidR="00C57D0A">
        <w:rPr>
          <w:rFonts w:cs="Times New Roman"/>
          <w:sz w:val="44"/>
          <w:szCs w:val="44"/>
        </w:rPr>
        <w:t>,</w:t>
      </w:r>
      <w:r w:rsidR="00110406">
        <w:rPr>
          <w:rFonts w:cs="Times New Roman"/>
          <w:sz w:val="44"/>
          <w:szCs w:val="44"/>
        </w:rPr>
        <w:t xml:space="preserve"> it is a chapter in Daniel. In Anglican </w:t>
      </w:r>
      <w:r w:rsidR="00C57D0A">
        <w:rPr>
          <w:rFonts w:cs="Times New Roman"/>
          <w:sz w:val="44"/>
          <w:szCs w:val="44"/>
        </w:rPr>
        <w:t>B</w:t>
      </w:r>
      <w:r w:rsidR="00110406">
        <w:rPr>
          <w:rFonts w:cs="Times New Roman"/>
          <w:sz w:val="44"/>
          <w:szCs w:val="44"/>
        </w:rPr>
        <w:t xml:space="preserve">ibles it is a </w:t>
      </w:r>
      <w:r w:rsidR="0060079F">
        <w:rPr>
          <w:rFonts w:cs="Times New Roman"/>
          <w:sz w:val="44"/>
          <w:szCs w:val="44"/>
        </w:rPr>
        <w:t xml:space="preserve">short book in the Apocrypha. </w:t>
      </w:r>
      <w:r>
        <w:rPr>
          <w:rFonts w:cs="Times New Roman"/>
          <w:sz w:val="44"/>
          <w:szCs w:val="44"/>
        </w:rPr>
        <w:t>It’s not that long, but w</w:t>
      </w:r>
      <w:r w:rsidR="0060079F">
        <w:rPr>
          <w:rFonts w:cs="Times New Roman"/>
          <w:sz w:val="44"/>
          <w:szCs w:val="44"/>
        </w:rPr>
        <w:t xml:space="preserve">e heard an edited version </w:t>
      </w:r>
      <w:r>
        <w:rPr>
          <w:rFonts w:cs="Times New Roman"/>
          <w:sz w:val="44"/>
          <w:szCs w:val="44"/>
        </w:rPr>
        <w:t xml:space="preserve">today </w:t>
      </w:r>
      <w:r w:rsidR="0060079F">
        <w:rPr>
          <w:rFonts w:cs="Times New Roman"/>
          <w:sz w:val="44"/>
          <w:szCs w:val="44"/>
        </w:rPr>
        <w:t xml:space="preserve">because this </w:t>
      </w:r>
      <w:r>
        <w:rPr>
          <w:rFonts w:cs="Times New Roman"/>
          <w:sz w:val="44"/>
          <w:szCs w:val="44"/>
        </w:rPr>
        <w:t xml:space="preserve">Eucharist </w:t>
      </w:r>
      <w:r w:rsidR="0060079F">
        <w:rPr>
          <w:rFonts w:cs="Times New Roman"/>
          <w:sz w:val="44"/>
          <w:szCs w:val="44"/>
        </w:rPr>
        <w:t xml:space="preserve">is normally a Mass for a congregation in the middle of the workday. </w:t>
      </w:r>
    </w:p>
    <w:p w14:paraId="282C37F7" w14:textId="436BC1CB" w:rsidR="0060079F" w:rsidRDefault="0060079F">
      <w:pPr>
        <w:rPr>
          <w:rFonts w:cs="Times New Roman"/>
          <w:sz w:val="44"/>
          <w:szCs w:val="44"/>
        </w:rPr>
      </w:pPr>
    </w:p>
    <w:p w14:paraId="17F65207" w14:textId="1B3A4257" w:rsidR="0060079F" w:rsidRDefault="0060079F">
      <w:pPr>
        <w:rPr>
          <w:sz w:val="44"/>
          <w:szCs w:val="44"/>
        </w:rPr>
      </w:pPr>
      <w:r>
        <w:rPr>
          <w:rFonts w:cs="Times New Roman"/>
          <w:sz w:val="44"/>
          <w:szCs w:val="44"/>
        </w:rPr>
        <w:t>Let me close with what I consider the conundrum</w:t>
      </w:r>
      <w:r w:rsidR="0039313C">
        <w:rPr>
          <w:rFonts w:cs="Times New Roman"/>
          <w:sz w:val="44"/>
          <w:szCs w:val="44"/>
        </w:rPr>
        <w:t xml:space="preserve"> presented by Jesus’ teaching on forgiveness in Matthew</w:t>
      </w:r>
      <w:r w:rsidR="00C57D0A">
        <w:rPr>
          <w:rFonts w:cs="Times New Roman"/>
          <w:sz w:val="44"/>
          <w:szCs w:val="44"/>
        </w:rPr>
        <w:t>,</w:t>
      </w:r>
      <w:r w:rsidR="0039313C">
        <w:rPr>
          <w:rFonts w:cs="Times New Roman"/>
          <w:sz w:val="44"/>
          <w:szCs w:val="44"/>
        </w:rPr>
        <w:t xml:space="preserve"> when he responds to Peter’s question about how many times he is to forgive his brother. Jesus s</w:t>
      </w:r>
      <w:r w:rsidR="004C4A7D">
        <w:rPr>
          <w:rFonts w:cs="Times New Roman"/>
          <w:sz w:val="44"/>
          <w:szCs w:val="44"/>
        </w:rPr>
        <w:t>ays</w:t>
      </w:r>
      <w:r w:rsidR="0039313C">
        <w:rPr>
          <w:rFonts w:cs="Times New Roman"/>
          <w:sz w:val="44"/>
          <w:szCs w:val="44"/>
        </w:rPr>
        <w:t xml:space="preserve">, “I do not say to you seven times, but seventy-times seven.” He then tells the parable of the unforgiving servant, the servant whose master forgave him his debt, but he did not forgive his own servant’s debt. </w:t>
      </w:r>
      <w:r w:rsidR="004C4A7D">
        <w:rPr>
          <w:rFonts w:cs="Times New Roman"/>
          <w:sz w:val="44"/>
          <w:szCs w:val="44"/>
        </w:rPr>
        <w:t xml:space="preserve">The unforgiving servant </w:t>
      </w:r>
      <w:r w:rsidR="0039313C">
        <w:rPr>
          <w:rFonts w:cs="Times New Roman"/>
          <w:sz w:val="44"/>
          <w:szCs w:val="44"/>
        </w:rPr>
        <w:t>had only one chance to be spared, not seven, not seventy-times seven.</w:t>
      </w:r>
      <w:r w:rsidR="004C4A7D">
        <w:rPr>
          <w:rStyle w:val="FootnoteReference"/>
          <w:rFonts w:cs="Times New Roman"/>
          <w:sz w:val="44"/>
          <w:szCs w:val="44"/>
        </w:rPr>
        <w:footnoteReference w:id="8"/>
      </w:r>
      <w:r w:rsidR="004C4A7D">
        <w:rPr>
          <w:rFonts w:cs="Times New Roman"/>
          <w:sz w:val="44"/>
          <w:szCs w:val="44"/>
        </w:rPr>
        <w:t xml:space="preserve"> </w:t>
      </w:r>
      <w:r w:rsidR="0039313C">
        <w:rPr>
          <w:rFonts w:cs="Times New Roman"/>
          <w:sz w:val="44"/>
          <w:szCs w:val="44"/>
        </w:rPr>
        <w:t xml:space="preserve">It doesn’t sound like </w:t>
      </w:r>
      <w:r w:rsidR="00C57D0A">
        <w:rPr>
          <w:rFonts w:cs="Times New Roman"/>
          <w:sz w:val="44"/>
          <w:szCs w:val="44"/>
        </w:rPr>
        <w:t xml:space="preserve">the same </w:t>
      </w:r>
      <w:r w:rsidR="0039313C" w:rsidRPr="0039313C">
        <w:rPr>
          <w:rFonts w:cs="Times New Roman"/>
          <w:sz w:val="44"/>
          <w:szCs w:val="44"/>
        </w:rPr>
        <w:t>Jesus who says</w:t>
      </w:r>
      <w:r w:rsidR="00C57D0A">
        <w:rPr>
          <w:rFonts w:cs="Times New Roman"/>
          <w:sz w:val="44"/>
          <w:szCs w:val="44"/>
        </w:rPr>
        <w:t xml:space="preserve"> in this gospel</w:t>
      </w:r>
      <w:r w:rsidR="0039313C" w:rsidRPr="0039313C">
        <w:rPr>
          <w:rFonts w:cs="Times New Roman"/>
          <w:sz w:val="44"/>
          <w:szCs w:val="44"/>
        </w:rPr>
        <w:t>, “</w:t>
      </w:r>
      <w:r w:rsidR="0039313C" w:rsidRPr="0039313C">
        <w:rPr>
          <w:sz w:val="44"/>
          <w:szCs w:val="44"/>
        </w:rPr>
        <w:t xml:space="preserve">Go and learn what this means, </w:t>
      </w:r>
      <w:r w:rsidR="0039313C">
        <w:rPr>
          <w:sz w:val="44"/>
          <w:szCs w:val="44"/>
        </w:rPr>
        <w:t>‘</w:t>
      </w:r>
      <w:r w:rsidR="0039313C" w:rsidRPr="0039313C">
        <w:rPr>
          <w:sz w:val="44"/>
          <w:szCs w:val="44"/>
        </w:rPr>
        <w:t>I desire mercy, and not sacrifice.</w:t>
      </w:r>
      <w:r w:rsidR="0039313C">
        <w:rPr>
          <w:sz w:val="44"/>
          <w:szCs w:val="44"/>
        </w:rPr>
        <w:t>’</w:t>
      </w:r>
      <w:r w:rsidR="0039313C" w:rsidRPr="0039313C">
        <w:rPr>
          <w:sz w:val="44"/>
          <w:szCs w:val="44"/>
        </w:rPr>
        <w:t xml:space="preserve"> For I came not to call the righteous, but sinners.</w:t>
      </w:r>
      <w:r w:rsidR="0039313C">
        <w:rPr>
          <w:sz w:val="44"/>
          <w:szCs w:val="44"/>
        </w:rPr>
        <w:t>”</w:t>
      </w:r>
      <w:r w:rsidR="0039313C">
        <w:rPr>
          <w:rStyle w:val="FootnoteReference"/>
          <w:sz w:val="44"/>
          <w:szCs w:val="44"/>
        </w:rPr>
        <w:footnoteReference w:id="9"/>
      </w:r>
    </w:p>
    <w:p w14:paraId="250FB3A3" w14:textId="77777777" w:rsidR="00C57D0A" w:rsidRDefault="00C57D0A">
      <w:pPr>
        <w:rPr>
          <w:sz w:val="44"/>
          <w:szCs w:val="44"/>
        </w:rPr>
      </w:pPr>
    </w:p>
    <w:p w14:paraId="2B54F0E0" w14:textId="77777777" w:rsidR="00C57D0A" w:rsidRDefault="002E58F2" w:rsidP="002E58F2">
      <w:pPr>
        <w:pStyle w:val="Footer"/>
      </w:pPr>
      <w:r w:rsidRPr="00C57D0A">
        <w:rPr>
          <w:rFonts w:ascii="ZapfDingbats BT" w:hAnsi="ZapfDingbats BT"/>
        </w:rPr>
        <w:sym w:font="Wingdings" w:char="F058"/>
      </w:r>
      <w:r w:rsidRPr="00C57D0A">
        <w:rPr>
          <w:rFonts w:ascii="ZapfDingbats BT" w:hAnsi="ZapfDingbats BT"/>
        </w:rPr>
        <w:t></w:t>
      </w:r>
      <w:r w:rsidRPr="00C57D0A">
        <w:t>May the Divine Assistance remain with us</w:t>
      </w:r>
      <w:r w:rsidR="00C57D0A" w:rsidRPr="00C57D0A">
        <w:t xml:space="preserve"> </w:t>
      </w:r>
      <w:r w:rsidRPr="00C57D0A">
        <w:t xml:space="preserve">always </w:t>
      </w:r>
    </w:p>
    <w:p w14:paraId="4D7D4BF9" w14:textId="7F7CC19B" w:rsidR="002E58F2" w:rsidRPr="00C57D0A" w:rsidRDefault="00C57D0A" w:rsidP="002E58F2">
      <w:pPr>
        <w:pStyle w:val="Footer"/>
      </w:pPr>
      <w:r>
        <w:t xml:space="preserve">    </w:t>
      </w:r>
      <w:bookmarkStart w:id="1" w:name="_GoBack"/>
      <w:bookmarkEnd w:id="1"/>
      <w:r w:rsidR="002E58F2" w:rsidRPr="00C57D0A">
        <w:t>and with those who are absent from us.</w:t>
      </w:r>
      <w:r w:rsidRPr="00C57D0A">
        <w:t xml:space="preserve"> </w:t>
      </w:r>
      <w:r w:rsidR="002E58F2" w:rsidRPr="00C57D0A">
        <w:t>Amen.</w:t>
      </w:r>
    </w:p>
    <w:p w14:paraId="72A97906" w14:textId="77777777" w:rsidR="00C57D0A" w:rsidRDefault="00C57D0A" w:rsidP="002E58F2">
      <w:pPr>
        <w:pStyle w:val="Footer"/>
        <w:rPr>
          <w:b/>
          <w:sz w:val="22"/>
          <w:szCs w:val="24"/>
        </w:rPr>
      </w:pPr>
    </w:p>
    <w:p w14:paraId="1BD23F3C" w14:textId="3769D8A8" w:rsidR="002E58F2" w:rsidRPr="00C57D0A" w:rsidRDefault="002E58F2" w:rsidP="002E58F2">
      <w:pPr>
        <w:pStyle w:val="Footer"/>
        <w:rPr>
          <w:b/>
          <w:sz w:val="22"/>
          <w:szCs w:val="24"/>
        </w:rPr>
      </w:pPr>
      <w:r w:rsidRPr="00C57D0A">
        <w:rPr>
          <w:b/>
          <w:sz w:val="22"/>
          <w:szCs w:val="24"/>
        </w:rPr>
        <w:t xml:space="preserve">Copyright © 2020 The Society of the Free Church of St. Mary the Virgin, New York, New York. </w:t>
      </w:r>
    </w:p>
    <w:p w14:paraId="6980897D" w14:textId="77777777" w:rsidR="00C57D0A" w:rsidRDefault="00C57D0A" w:rsidP="002E58F2">
      <w:pPr>
        <w:pStyle w:val="Footer"/>
        <w:rPr>
          <w:b/>
          <w:sz w:val="24"/>
          <w:szCs w:val="24"/>
        </w:rPr>
      </w:pPr>
    </w:p>
    <w:p w14:paraId="4723D69A" w14:textId="6A94CCC5" w:rsidR="002E58F2" w:rsidRPr="004C4A7D" w:rsidRDefault="002E58F2" w:rsidP="002E58F2">
      <w:pPr>
        <w:pStyle w:val="Footer"/>
        <w:rPr>
          <w:b/>
          <w:sz w:val="24"/>
          <w:szCs w:val="24"/>
        </w:rPr>
      </w:pPr>
      <w:r w:rsidRPr="004C4A7D">
        <w:rPr>
          <w:b/>
          <w:sz w:val="24"/>
          <w:szCs w:val="24"/>
        </w:rPr>
        <w:t>All rights reserved.</w:t>
      </w:r>
    </w:p>
    <w:sectPr w:rsidR="002E58F2" w:rsidRPr="004C4A7D" w:rsidSect="00E9735B">
      <w:headerReference w:type="defaul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66E9" w14:textId="77777777" w:rsidR="00A9249F" w:rsidRDefault="00A9249F" w:rsidP="00D550E2">
      <w:r>
        <w:separator/>
      </w:r>
    </w:p>
  </w:endnote>
  <w:endnote w:type="continuationSeparator" w:id="0">
    <w:p w14:paraId="672390DA" w14:textId="77777777" w:rsidR="00A9249F" w:rsidRDefault="00A9249F" w:rsidP="00D5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202C" w14:textId="77777777" w:rsidR="00A9249F" w:rsidRDefault="00A9249F" w:rsidP="00D550E2">
      <w:r>
        <w:separator/>
      </w:r>
    </w:p>
  </w:footnote>
  <w:footnote w:type="continuationSeparator" w:id="0">
    <w:p w14:paraId="0DBE8877" w14:textId="77777777" w:rsidR="00A9249F" w:rsidRDefault="00A9249F" w:rsidP="00D550E2">
      <w:r>
        <w:continuationSeparator/>
      </w:r>
    </w:p>
  </w:footnote>
  <w:footnote w:id="1">
    <w:p w14:paraId="3074DFB9" w14:textId="0F5F041A" w:rsidR="00517611" w:rsidRPr="00E32883" w:rsidRDefault="00517611">
      <w:pPr>
        <w:pStyle w:val="FootnoteText"/>
        <w:rPr>
          <w:sz w:val="28"/>
          <w:szCs w:val="28"/>
        </w:rPr>
      </w:pPr>
      <w:r w:rsidRPr="00E32883">
        <w:rPr>
          <w:rStyle w:val="FootnoteReference"/>
          <w:sz w:val="28"/>
          <w:szCs w:val="28"/>
        </w:rPr>
        <w:footnoteRef/>
      </w:r>
      <w:r w:rsidRPr="00E32883">
        <w:rPr>
          <w:sz w:val="28"/>
          <w:szCs w:val="28"/>
        </w:rPr>
        <w:t xml:space="preserve"> </w:t>
      </w:r>
      <w:r w:rsidRPr="00E32883">
        <w:rPr>
          <w:i/>
          <w:iCs/>
          <w:sz w:val="28"/>
          <w:szCs w:val="28"/>
        </w:rPr>
        <w:t>The Book of Common Prayer</w:t>
      </w:r>
      <w:r w:rsidRPr="00E32883">
        <w:rPr>
          <w:sz w:val="28"/>
          <w:szCs w:val="28"/>
        </w:rPr>
        <w:t xml:space="preserve"> (1979), </w:t>
      </w:r>
      <w:r w:rsidR="000064EE" w:rsidRPr="00E32883">
        <w:rPr>
          <w:sz w:val="28"/>
          <w:szCs w:val="28"/>
        </w:rPr>
        <w:t>936.</w:t>
      </w:r>
    </w:p>
  </w:footnote>
  <w:footnote w:id="2">
    <w:p w14:paraId="3C71DF19" w14:textId="41152E50" w:rsidR="00E32883" w:rsidRPr="00E32883" w:rsidRDefault="00E32883" w:rsidP="00E32883">
      <w:pPr>
        <w:pStyle w:val="Footer"/>
        <w:rPr>
          <w:sz w:val="28"/>
          <w:szCs w:val="28"/>
        </w:rPr>
      </w:pPr>
      <w:r w:rsidRPr="00E32883">
        <w:rPr>
          <w:rStyle w:val="FootnoteReference"/>
          <w:sz w:val="28"/>
          <w:szCs w:val="28"/>
        </w:rPr>
        <w:footnoteRef/>
      </w:r>
      <w:r w:rsidRPr="00E32883">
        <w:rPr>
          <w:sz w:val="28"/>
          <w:szCs w:val="28"/>
        </w:rPr>
        <w:t xml:space="preserve"> </w:t>
      </w:r>
      <w:r w:rsidRPr="00E32883">
        <w:rPr>
          <w:i/>
          <w:sz w:val="28"/>
          <w:szCs w:val="28"/>
        </w:rPr>
        <w:t>New Oxford Annotated Bible: New Revised Standard Version with the Apocrypha, An Ecumenical Study Bible</w:t>
      </w:r>
      <w:r w:rsidRPr="00E32883">
        <w:rPr>
          <w:sz w:val="28"/>
          <w:szCs w:val="28"/>
        </w:rPr>
        <w:t>, ed. Michael D. Coogan, 4th ed. (New York: Oxford University Press, 2010), 1896.</w:t>
      </w:r>
    </w:p>
  </w:footnote>
  <w:footnote w:id="3">
    <w:p w14:paraId="68C5173D" w14:textId="5CE9A5F3" w:rsidR="00E32883" w:rsidRPr="00BF3906" w:rsidRDefault="00E32883" w:rsidP="00BF3906">
      <w:pPr>
        <w:rPr>
          <w:sz w:val="28"/>
          <w:szCs w:val="24"/>
        </w:rPr>
      </w:pPr>
      <w:r w:rsidRPr="00BF3906">
        <w:rPr>
          <w:rStyle w:val="FootnoteReference"/>
          <w:sz w:val="28"/>
          <w:szCs w:val="24"/>
        </w:rPr>
        <w:footnoteRef/>
      </w:r>
      <w:r w:rsidRPr="00BF3906">
        <w:rPr>
          <w:sz w:val="28"/>
          <w:szCs w:val="24"/>
        </w:rPr>
        <w:t xml:space="preserve"> </w:t>
      </w:r>
      <w:bookmarkStart w:id="0" w:name="_Hlk11592417"/>
      <w:r w:rsidRPr="00BF3906">
        <w:rPr>
          <w:sz w:val="28"/>
          <w:szCs w:val="24"/>
        </w:rPr>
        <w:t xml:space="preserve">Raymond E. Brown, </w:t>
      </w:r>
      <w:r w:rsidRPr="00BF3906">
        <w:rPr>
          <w:i/>
          <w:sz w:val="28"/>
          <w:szCs w:val="24"/>
        </w:rPr>
        <w:t>An Introduction to the New Testament</w:t>
      </w:r>
      <w:r w:rsidRPr="00BF3906">
        <w:rPr>
          <w:sz w:val="28"/>
          <w:szCs w:val="24"/>
        </w:rPr>
        <w:t xml:space="preserve"> (New York: Doubleday, 1997), </w:t>
      </w:r>
      <w:bookmarkEnd w:id="0"/>
      <w:r w:rsidR="00BF3906" w:rsidRPr="00BF3906">
        <w:rPr>
          <w:sz w:val="28"/>
          <w:szCs w:val="24"/>
        </w:rPr>
        <w:t>375.</w:t>
      </w:r>
    </w:p>
  </w:footnote>
  <w:footnote w:id="4">
    <w:p w14:paraId="030571EF" w14:textId="51BC3A90" w:rsidR="00BF3906" w:rsidRPr="00BF3906" w:rsidRDefault="00BF3906">
      <w:pPr>
        <w:pStyle w:val="FootnoteText"/>
        <w:rPr>
          <w:sz w:val="28"/>
          <w:szCs w:val="28"/>
        </w:rPr>
      </w:pPr>
      <w:r w:rsidRPr="00BF3906">
        <w:rPr>
          <w:rStyle w:val="FootnoteReference"/>
          <w:sz w:val="28"/>
          <w:szCs w:val="28"/>
        </w:rPr>
        <w:footnoteRef/>
      </w:r>
      <w:r w:rsidRPr="00BF3906">
        <w:rPr>
          <w:sz w:val="28"/>
          <w:szCs w:val="28"/>
        </w:rPr>
        <w:t xml:space="preserve"> Ibid., 375–76.</w:t>
      </w:r>
    </w:p>
  </w:footnote>
  <w:footnote w:id="5">
    <w:p w14:paraId="308F49CA" w14:textId="757C8546" w:rsidR="00BF3906" w:rsidRPr="00BF3906" w:rsidRDefault="00BF3906">
      <w:pPr>
        <w:pStyle w:val="FootnoteText"/>
        <w:rPr>
          <w:sz w:val="28"/>
          <w:szCs w:val="28"/>
        </w:rPr>
      </w:pPr>
      <w:r w:rsidRPr="00BF3906">
        <w:rPr>
          <w:rStyle w:val="FootnoteReference"/>
          <w:sz w:val="28"/>
          <w:szCs w:val="28"/>
        </w:rPr>
        <w:footnoteRef/>
      </w:r>
      <w:r w:rsidRPr="00BF3906">
        <w:rPr>
          <w:sz w:val="28"/>
          <w:szCs w:val="28"/>
        </w:rPr>
        <w:t xml:space="preserve"> Proverbs 16:18.</w:t>
      </w:r>
    </w:p>
  </w:footnote>
  <w:footnote w:id="6">
    <w:p w14:paraId="7015C446" w14:textId="4A309D6B" w:rsidR="00110406" w:rsidRPr="00110406" w:rsidRDefault="00110406">
      <w:pPr>
        <w:pStyle w:val="FootnoteText"/>
        <w:rPr>
          <w:sz w:val="28"/>
          <w:szCs w:val="28"/>
        </w:rPr>
      </w:pPr>
      <w:r w:rsidRPr="00110406">
        <w:rPr>
          <w:rStyle w:val="FootnoteReference"/>
          <w:sz w:val="28"/>
          <w:szCs w:val="28"/>
        </w:rPr>
        <w:footnoteRef/>
      </w:r>
      <w:r w:rsidRPr="00110406">
        <w:rPr>
          <w:sz w:val="28"/>
          <w:szCs w:val="28"/>
        </w:rPr>
        <w:t xml:space="preserve"> </w:t>
      </w:r>
      <w:r w:rsidRPr="00110406">
        <w:rPr>
          <w:i/>
          <w:iCs/>
          <w:sz w:val="28"/>
          <w:szCs w:val="28"/>
        </w:rPr>
        <w:t>St. Benedict’s Rule for Monasteries,</w:t>
      </w:r>
      <w:r>
        <w:rPr>
          <w:sz w:val="28"/>
          <w:szCs w:val="28"/>
        </w:rPr>
        <w:t xml:space="preserve"> trans. Leonard J. Doyle (Collegeville: Liturgical Press, 1948), 21–29.</w:t>
      </w:r>
    </w:p>
  </w:footnote>
  <w:footnote w:id="7">
    <w:p w14:paraId="5627847D" w14:textId="287FBE7B" w:rsidR="00110406" w:rsidRPr="00110406" w:rsidRDefault="00110406">
      <w:pPr>
        <w:pStyle w:val="FootnoteText"/>
        <w:rPr>
          <w:sz w:val="28"/>
          <w:szCs w:val="28"/>
        </w:rPr>
      </w:pPr>
      <w:r w:rsidRPr="00110406">
        <w:rPr>
          <w:rStyle w:val="FootnoteReference"/>
          <w:sz w:val="28"/>
          <w:szCs w:val="28"/>
        </w:rPr>
        <w:footnoteRef/>
      </w:r>
      <w:r w:rsidRPr="00110406">
        <w:rPr>
          <w:sz w:val="28"/>
          <w:szCs w:val="28"/>
        </w:rPr>
        <w:t xml:space="preserve"> </w:t>
      </w:r>
      <w:r w:rsidRPr="00110406">
        <w:rPr>
          <w:i/>
          <w:sz w:val="28"/>
          <w:szCs w:val="28"/>
        </w:rPr>
        <w:t xml:space="preserve">The Jerome Biblical Commentary: Volume I: The Old Testament, </w:t>
      </w:r>
      <w:r w:rsidRPr="00110406">
        <w:rPr>
          <w:sz w:val="28"/>
          <w:szCs w:val="28"/>
        </w:rPr>
        <w:t>Raymond E. Brown, Joseph A. Fitzmyer, and Roland E. Murphy, eds. (Englewood Cliffs: Prentice-Hall, Inc.), 459.</w:t>
      </w:r>
    </w:p>
  </w:footnote>
  <w:footnote w:id="8">
    <w:p w14:paraId="57B2D5E9" w14:textId="77777777" w:rsidR="004C4A7D" w:rsidRPr="00C57D0A" w:rsidRDefault="004C4A7D" w:rsidP="004C4A7D">
      <w:pPr>
        <w:pStyle w:val="FootnoteText"/>
        <w:rPr>
          <w:sz w:val="28"/>
        </w:rPr>
      </w:pPr>
      <w:r w:rsidRPr="00C57D0A">
        <w:rPr>
          <w:rStyle w:val="FootnoteReference"/>
          <w:sz w:val="28"/>
        </w:rPr>
        <w:footnoteRef/>
      </w:r>
      <w:r w:rsidRPr="00C57D0A">
        <w:rPr>
          <w:sz w:val="28"/>
        </w:rPr>
        <w:t xml:space="preserve"> Matthew 18;23–35.</w:t>
      </w:r>
    </w:p>
  </w:footnote>
  <w:footnote w:id="9">
    <w:p w14:paraId="442B7009" w14:textId="0D70E619" w:rsidR="0039313C" w:rsidRPr="0039313C" w:rsidRDefault="0039313C">
      <w:pPr>
        <w:pStyle w:val="FootnoteText"/>
        <w:rPr>
          <w:sz w:val="28"/>
          <w:szCs w:val="28"/>
        </w:rPr>
      </w:pPr>
      <w:r w:rsidRPr="0039313C">
        <w:rPr>
          <w:rStyle w:val="FootnoteReference"/>
          <w:sz w:val="28"/>
          <w:szCs w:val="28"/>
        </w:rPr>
        <w:footnoteRef/>
      </w:r>
      <w:r w:rsidRPr="0039313C">
        <w:rPr>
          <w:sz w:val="28"/>
          <w:szCs w:val="28"/>
        </w:rPr>
        <w:t xml:space="preserve"> Matthew 9:13.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3651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14:paraId="34D0CCD9" w14:textId="057034B5" w:rsidR="000D3E1F" w:rsidRPr="000D3E1F" w:rsidRDefault="000D3E1F">
        <w:pPr>
          <w:pStyle w:val="Header"/>
          <w:jc w:val="right"/>
          <w:rPr>
            <w:sz w:val="32"/>
          </w:rPr>
        </w:pPr>
        <w:r w:rsidRPr="000D3E1F">
          <w:rPr>
            <w:sz w:val="32"/>
          </w:rPr>
          <w:fldChar w:fldCharType="begin"/>
        </w:r>
        <w:r w:rsidRPr="000D3E1F">
          <w:rPr>
            <w:sz w:val="32"/>
          </w:rPr>
          <w:instrText xml:space="preserve"> PAGE   \* MERGEFORMAT </w:instrText>
        </w:r>
        <w:r w:rsidRPr="000D3E1F">
          <w:rPr>
            <w:sz w:val="32"/>
          </w:rPr>
          <w:fldChar w:fldCharType="separate"/>
        </w:r>
        <w:r w:rsidRPr="000D3E1F">
          <w:rPr>
            <w:noProof/>
            <w:sz w:val="32"/>
          </w:rPr>
          <w:t>2</w:t>
        </w:r>
        <w:r w:rsidRPr="000D3E1F">
          <w:rPr>
            <w:noProof/>
            <w:sz w:val="32"/>
          </w:rPr>
          <w:fldChar w:fldCharType="end"/>
        </w:r>
      </w:p>
    </w:sdtContent>
  </w:sdt>
  <w:p w14:paraId="4DA36DF9" w14:textId="77777777" w:rsidR="000D3E1F" w:rsidRDefault="000D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D"/>
    <w:rsid w:val="000064EE"/>
    <w:rsid w:val="000D3E1F"/>
    <w:rsid w:val="00110406"/>
    <w:rsid w:val="0013502E"/>
    <w:rsid w:val="001F6C68"/>
    <w:rsid w:val="002719D9"/>
    <w:rsid w:val="002E58F2"/>
    <w:rsid w:val="0039313C"/>
    <w:rsid w:val="00451B21"/>
    <w:rsid w:val="0048655F"/>
    <w:rsid w:val="004C4A7D"/>
    <w:rsid w:val="00507F3B"/>
    <w:rsid w:val="00517611"/>
    <w:rsid w:val="005B6490"/>
    <w:rsid w:val="005B6FFE"/>
    <w:rsid w:val="0060079F"/>
    <w:rsid w:val="006F1822"/>
    <w:rsid w:val="008C736A"/>
    <w:rsid w:val="009D4BAD"/>
    <w:rsid w:val="00A9249F"/>
    <w:rsid w:val="00AD581A"/>
    <w:rsid w:val="00BC39CE"/>
    <w:rsid w:val="00BD4717"/>
    <w:rsid w:val="00BF3906"/>
    <w:rsid w:val="00C57D0A"/>
    <w:rsid w:val="00CF0663"/>
    <w:rsid w:val="00D550E2"/>
    <w:rsid w:val="00E32883"/>
    <w:rsid w:val="00E9735B"/>
    <w:rsid w:val="00F05073"/>
    <w:rsid w:val="00F60DCE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E7F6"/>
  <w15:chartTrackingRefBased/>
  <w15:docId w15:val="{26B096C6-4FE7-4666-8553-4E4469B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4BAD"/>
    <w:pPr>
      <w:tabs>
        <w:tab w:val="center" w:pos="4320"/>
        <w:tab w:val="right" w:pos="8640"/>
      </w:tabs>
    </w:pPr>
    <w:rPr>
      <w:rFonts w:eastAsia="Times New Roman" w:cs="Times New Roman"/>
      <w:bCs/>
      <w:sz w:val="44"/>
      <w:szCs w:val="44"/>
    </w:rPr>
  </w:style>
  <w:style w:type="character" w:customStyle="1" w:styleId="FooterChar">
    <w:name w:val="Footer Char"/>
    <w:basedOn w:val="DefaultParagraphFont"/>
    <w:link w:val="Footer"/>
    <w:rsid w:val="009D4BAD"/>
    <w:rPr>
      <w:rFonts w:eastAsia="Times New Roman" w:cs="Times New Roman"/>
      <w:bCs/>
      <w:sz w:val="44"/>
      <w:szCs w:val="4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550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1F"/>
  </w:style>
  <w:style w:type="paragraph" w:styleId="BalloonText">
    <w:name w:val="Balloon Text"/>
    <w:basedOn w:val="Normal"/>
    <w:link w:val="BalloonTextChar"/>
    <w:uiPriority w:val="99"/>
    <w:semiHidden/>
    <w:unhideWhenUsed/>
    <w:rsid w:val="00F6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Gerth</dc:creator>
  <cp:keywords/>
  <dc:description/>
  <cp:lastModifiedBy>Stephen Gerth</cp:lastModifiedBy>
  <cp:revision>10</cp:revision>
  <cp:lastPrinted>2020-03-28T16:14:00Z</cp:lastPrinted>
  <dcterms:created xsi:type="dcterms:W3CDTF">2020-03-30T12:35:00Z</dcterms:created>
  <dcterms:modified xsi:type="dcterms:W3CDTF">2020-04-05T19:16:00Z</dcterms:modified>
</cp:coreProperties>
</file>