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5EC9" w14:textId="73B058ED" w:rsidR="00911304" w:rsidRDefault="006732FC" w:rsidP="004861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Homily </w:t>
      </w:r>
      <w:r w:rsidR="00911304">
        <w:rPr>
          <w:b/>
          <w:bCs/>
          <w:sz w:val="32"/>
          <w:szCs w:val="32"/>
        </w:rPr>
        <w:t xml:space="preserve">for </w:t>
      </w:r>
      <w:r w:rsidR="008408A9">
        <w:rPr>
          <w:b/>
          <w:bCs/>
          <w:sz w:val="32"/>
          <w:szCs w:val="32"/>
        </w:rPr>
        <w:t xml:space="preserve">Monday </w:t>
      </w:r>
      <w:r w:rsidR="00A146E3">
        <w:rPr>
          <w:b/>
          <w:bCs/>
          <w:sz w:val="32"/>
          <w:szCs w:val="32"/>
        </w:rPr>
        <w:t xml:space="preserve">in the </w:t>
      </w:r>
      <w:r w:rsidR="008408A9">
        <w:rPr>
          <w:b/>
          <w:bCs/>
          <w:sz w:val="32"/>
          <w:szCs w:val="32"/>
        </w:rPr>
        <w:t>Sixth</w:t>
      </w:r>
      <w:r w:rsidR="00685511">
        <w:rPr>
          <w:b/>
          <w:bCs/>
          <w:sz w:val="32"/>
          <w:szCs w:val="32"/>
        </w:rPr>
        <w:t xml:space="preserve"> Week of Easter</w:t>
      </w:r>
    </w:p>
    <w:p w14:paraId="2CC19DEA" w14:textId="5E334257" w:rsidR="009D4BAD" w:rsidRPr="009D4BAD" w:rsidRDefault="00A146E3" w:rsidP="004861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1</w:t>
      </w:r>
      <w:r w:rsidR="008408A9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, 2020</w:t>
      </w:r>
    </w:p>
    <w:p w14:paraId="1AD3EB28" w14:textId="77777777" w:rsidR="009D4BAD" w:rsidRPr="009D4BAD" w:rsidRDefault="009D4BAD" w:rsidP="009D4BAD">
      <w:pPr>
        <w:rPr>
          <w:b/>
          <w:bCs/>
          <w:sz w:val="28"/>
          <w:szCs w:val="28"/>
        </w:rPr>
      </w:pPr>
      <w:r w:rsidRPr="009D4BAD">
        <w:rPr>
          <w:b/>
          <w:bCs/>
          <w:sz w:val="28"/>
          <w:szCs w:val="28"/>
        </w:rPr>
        <w:t>By the Reverend Stephen Gerth</w:t>
      </w:r>
    </w:p>
    <w:p w14:paraId="347F1997" w14:textId="77777777" w:rsidR="008408A9" w:rsidRPr="008408A9" w:rsidRDefault="008408A9" w:rsidP="008408A9">
      <w:pPr>
        <w:pStyle w:val="Footer"/>
        <w:rPr>
          <w:i/>
          <w:sz w:val="28"/>
        </w:rPr>
      </w:pPr>
      <w:r w:rsidRPr="008408A9">
        <w:rPr>
          <w:i/>
          <w:sz w:val="28"/>
        </w:rPr>
        <w:t>Acts 16:11–15; Psalm 149; John 15:26–16:4a</w:t>
      </w:r>
    </w:p>
    <w:p w14:paraId="15453BF0" w14:textId="0DA51610" w:rsidR="009D4BAD" w:rsidRPr="009D4BAD" w:rsidRDefault="009D4BAD" w:rsidP="00911304">
      <w:pPr>
        <w:tabs>
          <w:tab w:val="left" w:pos="3405"/>
        </w:tabs>
        <w:rPr>
          <w:sz w:val="28"/>
          <w:szCs w:val="24"/>
        </w:rPr>
      </w:pPr>
    </w:p>
    <w:p w14:paraId="0D983190" w14:textId="77777777" w:rsidR="00992CAB" w:rsidRDefault="00992CAB" w:rsidP="009D4BAD"/>
    <w:p w14:paraId="475548B4" w14:textId="7CF8DBC1" w:rsidR="00B47441" w:rsidRDefault="00373365" w:rsidP="009D4BAD">
      <w:r>
        <w:t>My seminary education</w:t>
      </w:r>
      <w:r w:rsidR="008D2753">
        <w:t xml:space="preserve"> began in the fall of 1980. It was shaped in many ways by the prevailing scholarship </w:t>
      </w:r>
      <w:r w:rsidR="00992CAB">
        <w:t xml:space="preserve">across all of the theological disciplines </w:t>
      </w:r>
      <w:r w:rsidR="008D2753">
        <w:t xml:space="preserve">that </w:t>
      </w:r>
      <w:r w:rsidR="00992CAB">
        <w:t xml:space="preserve">had </w:t>
      </w:r>
      <w:r w:rsidR="00805C5C">
        <w:t xml:space="preserve">developed for </w:t>
      </w:r>
      <w:r w:rsidR="008D2753">
        <w:t>Western Christian</w:t>
      </w:r>
      <w:r w:rsidR="00805C5C">
        <w:t>s</w:t>
      </w:r>
      <w:r w:rsidR="008D2753">
        <w:t xml:space="preserve"> after the Second World War. </w:t>
      </w:r>
      <w:r w:rsidR="00805C5C">
        <w:t>New work would be done. For example, b</w:t>
      </w:r>
      <w:r w:rsidR="008D2753">
        <w:t>y the end of the century</w:t>
      </w:r>
      <w:r w:rsidR="00805C5C">
        <w:t>,</w:t>
      </w:r>
      <w:r w:rsidR="008D2753">
        <w:t xml:space="preserve"> </w:t>
      </w:r>
      <w:r w:rsidR="00992CAB">
        <w:t xml:space="preserve">liturgical </w:t>
      </w:r>
      <w:r w:rsidR="008D2753">
        <w:t>scholars Paul Bradshaw and Maxwell Johnson would show that a fifty-day Easter Season was limited to a few regions of the Mediterranean world and was never as universal as we were taught.</w:t>
      </w:r>
      <w:r w:rsidR="0029031A">
        <w:rPr>
          <w:rStyle w:val="FootnoteReference"/>
        </w:rPr>
        <w:footnoteReference w:id="1"/>
      </w:r>
      <w:r w:rsidR="008D2753">
        <w:t xml:space="preserve"> </w:t>
      </w:r>
      <w:r w:rsidR="00992CAB">
        <w:t xml:space="preserve">It doesn’t follow that it is a bad thing, but it suggests that study and reflection should be an ongoing part of </w:t>
      </w:r>
      <w:r w:rsidR="004567B3">
        <w:t xml:space="preserve">our lives. </w:t>
      </w:r>
    </w:p>
    <w:p w14:paraId="1B64A2DA" w14:textId="7EC834C5" w:rsidR="008D2753" w:rsidRDefault="008D2753" w:rsidP="009D4BAD"/>
    <w:p w14:paraId="619D76E1" w14:textId="6A95C541" w:rsidR="008D2753" w:rsidRDefault="008D2753" w:rsidP="009D4BAD">
      <w:r>
        <w:t xml:space="preserve">In addition </w:t>
      </w:r>
      <w:r w:rsidR="0029031A">
        <w:t xml:space="preserve">to </w:t>
      </w:r>
      <w:bookmarkStart w:id="1" w:name="_GoBack"/>
      <w:bookmarkEnd w:id="1"/>
      <w:r>
        <w:t xml:space="preserve">the teaching of Louis Weil, professor of liturgics and church music at Nashotah House, two books by Aidan Kavanagh, a Roman Catholic Benedictine monk and professor of liturgy at Yale Divinity School, </w:t>
      </w:r>
      <w:r w:rsidR="00805C5C">
        <w:t xml:space="preserve">were very important for my formation to be a leader of worship. </w:t>
      </w:r>
      <w:r>
        <w:t xml:space="preserve">I mentioned one of them recently in a </w:t>
      </w:r>
      <w:r w:rsidR="00805C5C">
        <w:t xml:space="preserve">homily </w:t>
      </w:r>
      <w:r>
        <w:t xml:space="preserve">for the Commemoration of Monnica on May </w:t>
      </w:r>
      <w:r w:rsidR="00893548">
        <w:t xml:space="preserve">fourth, </w:t>
      </w:r>
      <w:r w:rsidRPr="00893548">
        <w:rPr>
          <w:i/>
        </w:rPr>
        <w:t xml:space="preserve">The Shape of Baptism: The </w:t>
      </w:r>
      <w:r w:rsidRPr="00893548">
        <w:rPr>
          <w:i/>
        </w:rPr>
        <w:lastRenderedPageBreak/>
        <w:t>Rite of Christian Initiation.</w:t>
      </w:r>
      <w:r w:rsidR="00893548">
        <w:rPr>
          <w:rStyle w:val="FootnoteReference"/>
        </w:rPr>
        <w:footnoteReference w:id="2"/>
      </w:r>
      <w:r>
        <w:t xml:space="preserve"> </w:t>
      </w:r>
      <w:r w:rsidR="00893548">
        <w:t xml:space="preserve">The other was a </w:t>
      </w:r>
      <w:r w:rsidR="00805C5C">
        <w:t xml:space="preserve">shorter and </w:t>
      </w:r>
      <w:r w:rsidR="00893548">
        <w:t xml:space="preserve">much different book, </w:t>
      </w:r>
      <w:r w:rsidR="00893548" w:rsidRPr="00893548">
        <w:rPr>
          <w:i/>
        </w:rPr>
        <w:t>Elements of Rite: A Handbook of Liturgical Style</w:t>
      </w:r>
      <w:r w:rsidR="00893548">
        <w:t>.</w:t>
      </w:r>
      <w:r w:rsidR="00893548">
        <w:rPr>
          <w:rStyle w:val="FootnoteReference"/>
        </w:rPr>
        <w:footnoteReference w:id="3"/>
      </w:r>
      <w:r w:rsidR="00893548">
        <w:t xml:space="preserve"> Among his maxims is this, “The homily is always on the gospel of the day, and one never preaches unless one has something to say.”</w:t>
      </w:r>
      <w:r w:rsidR="00893548">
        <w:rPr>
          <w:rStyle w:val="FootnoteReference"/>
        </w:rPr>
        <w:footnoteReference w:id="4"/>
      </w:r>
      <w:r w:rsidR="00893548">
        <w:t xml:space="preserve"> </w:t>
      </w:r>
      <w:r w:rsidR="004567B3">
        <w:t xml:space="preserve">The traditional argument for </w:t>
      </w:r>
      <w:r w:rsidR="00805C5C">
        <w:t xml:space="preserve">this </w:t>
      </w:r>
      <w:r w:rsidR="004567B3">
        <w:t xml:space="preserve">is that the sermon follows the </w:t>
      </w:r>
      <w:r w:rsidR="00805C5C">
        <w:t>gospel</w:t>
      </w:r>
      <w:r w:rsidR="004567B3">
        <w:t xml:space="preserve">. </w:t>
      </w:r>
      <w:r w:rsidR="00893548">
        <w:t xml:space="preserve">One of the reasons I have enjoyed preaching at Sunday Evensong, since the shape of my job here doesn’t permit me to teach, is that one can, without guilt, expand the scope for a sermon. </w:t>
      </w:r>
    </w:p>
    <w:p w14:paraId="7FCAD369" w14:textId="231D6B5E" w:rsidR="00893548" w:rsidRDefault="00893548" w:rsidP="009D4BAD"/>
    <w:p w14:paraId="3AACB151" w14:textId="34AB7AE5" w:rsidR="00893548" w:rsidRDefault="004567B3" w:rsidP="009D4BAD">
      <w:r>
        <w:t>T</w:t>
      </w:r>
      <w:r w:rsidR="00893548">
        <w:t xml:space="preserve">oday there is an almost unique phrase about the Lord in the reading from Luke’s second book, The Acts of the Apostles. </w:t>
      </w:r>
      <w:r w:rsidR="0029031A">
        <w:t xml:space="preserve">So, I want to stray from John. </w:t>
      </w:r>
      <w:r w:rsidR="00893548">
        <w:t>Luke wrote, “One who heard us was a woman named Lydia, from the city of Thyatira, a seller of purple goods, who was a worshiper of God. The Lord opened her heart to give heed to what was said by Paul.”</w:t>
      </w:r>
      <w:r w:rsidR="00893548">
        <w:rPr>
          <w:rStyle w:val="FootnoteReference"/>
        </w:rPr>
        <w:footnoteReference w:id="5"/>
      </w:r>
      <w:r w:rsidR="00524612">
        <w:t xml:space="preserve"> </w:t>
      </w:r>
    </w:p>
    <w:p w14:paraId="4099C5A7" w14:textId="66406E6F" w:rsidR="00524612" w:rsidRDefault="00524612" w:rsidP="009D4BAD"/>
    <w:p w14:paraId="50D97F33" w14:textId="0B5AF3CB" w:rsidR="00524612" w:rsidRDefault="00524612" w:rsidP="009D4BAD">
      <w:r>
        <w:t>Luke Timothy Johnson</w:t>
      </w:r>
      <w:r w:rsidR="004567B3">
        <w:t>,</w:t>
      </w:r>
      <w:r>
        <w:t xml:space="preserve"> in his commentary on today’s lesson, </w:t>
      </w:r>
      <w:r w:rsidR="004567B3">
        <w:t xml:space="preserve">writes, </w:t>
      </w:r>
      <w:r>
        <w:t xml:space="preserve">“Although the ‘biblical’ sound of [the Lord opened her heart] is undeniable, the actual </w:t>
      </w:r>
      <w:r>
        <w:lastRenderedPageBreak/>
        <w:t>expression occurs only in [Second Maccabees].”</w:t>
      </w:r>
      <w:r>
        <w:rPr>
          <w:rStyle w:val="FootnoteReference"/>
        </w:rPr>
        <w:footnoteReference w:id="6"/>
      </w:r>
      <w:r>
        <w:t xml:space="preserve"> Johnson notes Luke also uses the verb here</w:t>
      </w:r>
      <w:r w:rsidR="0002281E" w:rsidRPr="0002281E">
        <w:t>,</w:t>
      </w:r>
      <w:r w:rsidR="004567B3">
        <w:t xml:space="preserve"> to open,</w:t>
      </w:r>
      <w:r>
        <w:t xml:space="preserve"> </w:t>
      </w:r>
      <w:r w:rsidR="0002281E" w:rsidRPr="0002281E">
        <w:rPr>
          <w:i/>
          <w:lang w:val="el-GR"/>
        </w:rPr>
        <w:t>διανο</w:t>
      </w:r>
      <w:r w:rsidR="0002281E" w:rsidRPr="0002281E">
        <w:rPr>
          <w:i/>
        </w:rPr>
        <w:t>í</w:t>
      </w:r>
      <w:r w:rsidR="0002281E" w:rsidRPr="0002281E">
        <w:rPr>
          <w:i/>
          <w:lang w:val="el-GR"/>
        </w:rPr>
        <w:t>γω</w:t>
      </w:r>
      <w:r w:rsidR="0002281E" w:rsidRPr="0002281E">
        <w:rPr>
          <w:i/>
        </w:rPr>
        <w:t>,</w:t>
      </w:r>
      <w:r w:rsidR="0002281E" w:rsidRPr="0002281E">
        <w:t xml:space="preserve"> </w:t>
      </w:r>
      <w:r w:rsidR="0002281E">
        <w:t>in the story of the Risen Jesus meeting two disciples on the road to Emmaus.</w:t>
      </w:r>
      <w:r w:rsidR="0002281E">
        <w:rPr>
          <w:rStyle w:val="FootnoteReference"/>
        </w:rPr>
        <w:footnoteReference w:id="7"/>
      </w:r>
      <w:r w:rsidR="0002281E">
        <w:t xml:space="preserve"> </w:t>
      </w:r>
      <w:r w:rsidR="004567B3">
        <w:t>He wrote, that t</w:t>
      </w:r>
      <w:r w:rsidR="0002281E">
        <w:t>he disciples hearts burned “while Jesus opened to [them] the scriptures.”</w:t>
      </w:r>
      <w:r w:rsidR="0002281E">
        <w:rPr>
          <w:rStyle w:val="FootnoteReference"/>
        </w:rPr>
        <w:footnoteReference w:id="8"/>
      </w:r>
      <w:r w:rsidR="0002281E">
        <w:t xml:space="preserve"> In the next passage in Luke, it’s still the </w:t>
      </w:r>
      <w:r w:rsidR="00DD2FB3">
        <w:t xml:space="preserve">evening of the </w:t>
      </w:r>
      <w:r w:rsidR="0002281E">
        <w:t>day of resurrection. The evangelist wrote that Jesus “opened their minds to understand the scriptures.”</w:t>
      </w:r>
      <w:r w:rsidR="0002281E">
        <w:rPr>
          <w:rStyle w:val="FootnoteReference"/>
        </w:rPr>
        <w:footnoteReference w:id="9"/>
      </w:r>
    </w:p>
    <w:p w14:paraId="7F6E774E" w14:textId="4BE3D4E9" w:rsidR="0002281E" w:rsidRDefault="0002281E" w:rsidP="009D4BAD"/>
    <w:p w14:paraId="090FC88B" w14:textId="6CD46158" w:rsidR="004567B3" w:rsidRDefault="00BE1F06" w:rsidP="009D4BAD">
      <w:r>
        <w:t xml:space="preserve">Since the First Sunday after the Epiphany this year, we’ve been reading Genesis, Exodus, and Leviticus at </w:t>
      </w:r>
      <w:r w:rsidR="004C3BC7">
        <w:t xml:space="preserve">Daily </w:t>
      </w:r>
      <w:r>
        <w:t>Morning Prayer. In Exodus, Deuteronomy, Joshua, and Isaiah</w:t>
      </w:r>
      <w:r w:rsidR="0029031A">
        <w:t>,</w:t>
      </w:r>
      <w:r>
        <w:t xml:space="preserve"> the Lord doesn’t open hearts but hardens them.</w:t>
      </w:r>
      <w:r>
        <w:rPr>
          <w:rStyle w:val="FootnoteReference"/>
        </w:rPr>
        <w:footnoteReference w:id="10"/>
      </w:r>
      <w:r>
        <w:t xml:space="preserve"> </w:t>
      </w:r>
      <w:r w:rsidR="004C3BC7">
        <w:t xml:space="preserve">The Greek word “heart,” </w:t>
      </w:r>
      <w:r w:rsidR="0029031A" w:rsidRPr="0029031A">
        <w:rPr>
          <w:i/>
          <w:iCs/>
        </w:rPr>
        <w:t>kard</w:t>
      </w:r>
      <w:r w:rsidR="004C3BC7" w:rsidRPr="0029031A">
        <w:rPr>
          <w:i/>
          <w:iCs/>
        </w:rPr>
        <w:t>í</w:t>
      </w:r>
      <w:r w:rsidR="004C3BC7" w:rsidRPr="0029031A">
        <w:rPr>
          <w:i/>
          <w:iCs/>
          <w:lang w:val="el-GR"/>
        </w:rPr>
        <w:t>α</w:t>
      </w:r>
      <w:r w:rsidR="004C3BC7" w:rsidRPr="004C3BC7">
        <w:rPr>
          <w:i/>
        </w:rPr>
        <w:t>,</w:t>
      </w:r>
      <w:r w:rsidR="004C3BC7">
        <w:rPr>
          <w:rFonts w:ascii="Times New Roman" w:hAnsi="Times New Roman"/>
        </w:rPr>
        <w:t xml:space="preserve"> </w:t>
      </w:r>
      <w:r w:rsidR="004C3BC7">
        <w:t xml:space="preserve">is </w:t>
      </w:r>
      <w:r w:rsidR="004567B3">
        <w:t xml:space="preserve">often </w:t>
      </w:r>
      <w:r w:rsidR="004C3BC7">
        <w:t>translated as “mind” because in the first century the heart was thought to be the center of a person’s physical, mental,</w:t>
      </w:r>
      <w:r w:rsidR="004C3BC7">
        <w:rPr>
          <w:rStyle w:val="FootnoteReference"/>
        </w:rPr>
        <w:footnoteReference w:id="11"/>
      </w:r>
      <w:r w:rsidR="004C3BC7">
        <w:t xml:space="preserve"> and spiritual life.</w:t>
      </w:r>
      <w:r w:rsidR="00DD2FB3">
        <w:rPr>
          <w:rStyle w:val="FootnoteReference"/>
        </w:rPr>
        <w:footnoteReference w:id="12"/>
      </w:r>
      <w:r w:rsidR="00BC3903">
        <w:t xml:space="preserve"> </w:t>
      </w:r>
    </w:p>
    <w:p w14:paraId="22C53E4E" w14:textId="5BFA567B" w:rsidR="00ED6DAC" w:rsidRDefault="00DD2FB3" w:rsidP="004567B3">
      <w:r>
        <w:lastRenderedPageBreak/>
        <w:t>In the Letter to the Romans Paul wrote, “</w:t>
      </w:r>
      <w:r w:rsidR="00BC3903">
        <w:t>[The Lord said] to Moses, ‘I will have mercy on whom I have mercy, and I will have compassion on whom I have compassion.’ ”</w:t>
      </w:r>
      <w:r w:rsidR="00BC3903">
        <w:rPr>
          <w:rStyle w:val="FootnoteReference"/>
        </w:rPr>
        <w:footnoteReference w:id="13"/>
      </w:r>
      <w:r w:rsidR="004567B3">
        <w:t xml:space="preserve"> I find myself wondering </w:t>
      </w:r>
      <w:r w:rsidR="0029031A">
        <w:t xml:space="preserve">sometimes </w:t>
      </w:r>
      <w:r w:rsidR="004567B3">
        <w:t xml:space="preserve">why the Lord doesn’t open more hearts. </w:t>
      </w:r>
    </w:p>
    <w:p w14:paraId="423AA142" w14:textId="77777777" w:rsidR="00ED6DAC" w:rsidRDefault="00ED6DAC" w:rsidP="004567B3"/>
    <w:p w14:paraId="295763DF" w14:textId="107D46F5" w:rsidR="00BC3903" w:rsidRDefault="0029031A" w:rsidP="004567B3">
      <w:r>
        <w:t xml:space="preserve">That said, </w:t>
      </w:r>
      <w:r w:rsidR="00BC3903">
        <w:t>I think you and I can be open to the Lord softening</w:t>
      </w:r>
      <w:r w:rsidR="004567B3">
        <w:t>, if you will,</w:t>
      </w:r>
      <w:r w:rsidR="00BC3903">
        <w:t xml:space="preserve"> places in our hearts that may be hard</w:t>
      </w:r>
      <w:r w:rsidR="004567B3">
        <w:t>ened</w:t>
      </w:r>
      <w:r w:rsidR="00BC3903">
        <w:t xml:space="preserve"> and </w:t>
      </w:r>
      <w:r w:rsidR="00ED6DAC">
        <w:t xml:space="preserve">to </w:t>
      </w:r>
      <w:r>
        <w:t xml:space="preserve">be open to </w:t>
      </w:r>
      <w:r w:rsidR="00ED6DAC">
        <w:t xml:space="preserve">the Lord </w:t>
      </w:r>
      <w:r>
        <w:t xml:space="preserve">helping </w:t>
      </w:r>
      <w:r w:rsidR="00ED6DAC">
        <w:t>our</w:t>
      </w:r>
      <w:r w:rsidR="00BC3903">
        <w:t xml:space="preserve"> eyes </w:t>
      </w:r>
      <w:r w:rsidR="004567B3">
        <w:t xml:space="preserve">to </w:t>
      </w:r>
      <w:r w:rsidR="00BC3903">
        <w:t xml:space="preserve">see what </w:t>
      </w:r>
      <w:r w:rsidR="004567B3">
        <w:t>we haven’t seen</w:t>
      </w:r>
      <w:r w:rsidR="00ED6DAC">
        <w:t>.</w:t>
      </w:r>
    </w:p>
    <w:p w14:paraId="5E86FB17" w14:textId="77777777" w:rsidR="00BC3903" w:rsidRDefault="00BC3903" w:rsidP="00BC3903">
      <w:pPr>
        <w:pStyle w:val="Footer"/>
        <w:rPr>
          <w:szCs w:val="32"/>
        </w:rPr>
      </w:pPr>
    </w:p>
    <w:p w14:paraId="7B5B9245" w14:textId="77777777" w:rsidR="00BC3903" w:rsidRDefault="00BC3903" w:rsidP="00BC3903">
      <w:pPr>
        <w:widowControl w:val="0"/>
      </w:pPr>
      <w:r>
        <w:rPr>
          <w:rFonts w:ascii="ZapfDingbats BT" w:hAnsi="ZapfDingbats BT"/>
        </w:rPr>
        <w:sym w:font="Wingdings" w:char="F058"/>
      </w:r>
      <w:r>
        <w:rPr>
          <w:rFonts w:ascii="ZapfDingbats BT" w:hAnsi="ZapfDingbats BT"/>
        </w:rPr>
        <w:t></w:t>
      </w:r>
      <w:r>
        <w:t xml:space="preserve">In the Name of the Father, and of the Son, </w:t>
      </w:r>
    </w:p>
    <w:p w14:paraId="03075702" w14:textId="77777777" w:rsidR="00BC3903" w:rsidRDefault="00BC3903" w:rsidP="00BC3903">
      <w:pPr>
        <w:widowControl w:val="0"/>
      </w:pPr>
      <w:r>
        <w:t xml:space="preserve">    and of the Holy Spirit. Amen.</w:t>
      </w:r>
    </w:p>
    <w:p w14:paraId="4BA1979B" w14:textId="77777777" w:rsidR="00BC3903" w:rsidRDefault="00BC3903" w:rsidP="00BC3903">
      <w:pPr>
        <w:pStyle w:val="Footer"/>
        <w:rPr>
          <w:sz w:val="22"/>
          <w:szCs w:val="48"/>
        </w:rPr>
      </w:pPr>
    </w:p>
    <w:p w14:paraId="1141F1C7" w14:textId="77777777" w:rsidR="00BC3903" w:rsidRDefault="00BC3903" w:rsidP="00BC3903">
      <w:pPr>
        <w:pStyle w:val="Footer"/>
        <w:rPr>
          <w:sz w:val="22"/>
          <w:szCs w:val="48"/>
        </w:rPr>
      </w:pPr>
    </w:p>
    <w:p w14:paraId="29E508F4" w14:textId="77777777" w:rsidR="00BC3903" w:rsidRDefault="00BC3903" w:rsidP="00BC3903">
      <w:pPr>
        <w:pStyle w:val="Footer"/>
        <w:rPr>
          <w:b/>
          <w:sz w:val="22"/>
          <w:szCs w:val="48"/>
        </w:rPr>
      </w:pPr>
      <w:r>
        <w:rPr>
          <w:b/>
          <w:sz w:val="22"/>
          <w:szCs w:val="48"/>
        </w:rPr>
        <w:t>Copyright © 2020 The Society of the Free Church of St. Mary the Virgin, New York, New York.</w:t>
      </w:r>
    </w:p>
    <w:p w14:paraId="5295522E" w14:textId="77777777" w:rsidR="00BC3903" w:rsidRDefault="00BC3903" w:rsidP="00BC3903">
      <w:pPr>
        <w:pStyle w:val="Footer"/>
        <w:rPr>
          <w:sz w:val="22"/>
          <w:szCs w:val="48"/>
        </w:rPr>
      </w:pPr>
    </w:p>
    <w:p w14:paraId="457E8ADF" w14:textId="77777777" w:rsidR="00BC3903" w:rsidRDefault="00BC3903" w:rsidP="00BC3903">
      <w:pPr>
        <w:pStyle w:val="Footer"/>
        <w:rPr>
          <w:b/>
          <w:sz w:val="22"/>
          <w:szCs w:val="48"/>
        </w:rPr>
      </w:pPr>
      <w:r>
        <w:rPr>
          <w:b/>
          <w:sz w:val="22"/>
          <w:szCs w:val="48"/>
        </w:rPr>
        <w:t>All rights reserved.</w:t>
      </w:r>
    </w:p>
    <w:p w14:paraId="22A276E3" w14:textId="77777777" w:rsidR="00BC3903" w:rsidRDefault="00BC3903" w:rsidP="00BC3903">
      <w:pPr>
        <w:pStyle w:val="Footer"/>
        <w:rPr>
          <w:sz w:val="22"/>
          <w:szCs w:val="48"/>
        </w:rPr>
      </w:pPr>
    </w:p>
    <w:sectPr w:rsidR="00BC3903" w:rsidSect="00AD61DF">
      <w:headerReference w:type="default" r:id="rId7"/>
      <w:pgSz w:w="12240" w:h="15840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B3D8C" w14:textId="77777777" w:rsidR="00821EA2" w:rsidRDefault="00821EA2" w:rsidP="00D550E2">
      <w:r>
        <w:separator/>
      </w:r>
    </w:p>
  </w:endnote>
  <w:endnote w:type="continuationSeparator" w:id="0">
    <w:p w14:paraId="34E3F174" w14:textId="77777777" w:rsidR="00821EA2" w:rsidRDefault="00821EA2" w:rsidP="00D5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B99ED" w14:textId="77777777" w:rsidR="00821EA2" w:rsidRDefault="00821EA2" w:rsidP="00D550E2">
      <w:r>
        <w:separator/>
      </w:r>
    </w:p>
  </w:footnote>
  <w:footnote w:type="continuationSeparator" w:id="0">
    <w:p w14:paraId="3BF1C693" w14:textId="77777777" w:rsidR="00821EA2" w:rsidRDefault="00821EA2" w:rsidP="00D550E2">
      <w:r>
        <w:continuationSeparator/>
      </w:r>
    </w:p>
  </w:footnote>
  <w:footnote w:id="1">
    <w:p w14:paraId="72136A27" w14:textId="4817EE35" w:rsidR="0029031A" w:rsidRPr="0029031A" w:rsidRDefault="0029031A" w:rsidP="0029031A">
      <w:pPr>
        <w:pStyle w:val="FootnoteText"/>
        <w:rPr>
          <w:sz w:val="28"/>
          <w:szCs w:val="28"/>
        </w:rPr>
      </w:pPr>
      <w:r w:rsidRPr="0029031A">
        <w:rPr>
          <w:rStyle w:val="FootnoteReference"/>
          <w:sz w:val="28"/>
          <w:szCs w:val="28"/>
        </w:rPr>
        <w:footnoteRef/>
      </w:r>
      <w:r w:rsidRPr="0029031A">
        <w:rPr>
          <w:sz w:val="28"/>
          <w:szCs w:val="28"/>
        </w:rPr>
        <w:t xml:space="preserve"> </w:t>
      </w:r>
      <w:bookmarkStart w:id="0" w:name="_Hlk28940527"/>
      <w:r w:rsidRPr="0029031A">
        <w:rPr>
          <w:sz w:val="28"/>
          <w:szCs w:val="28"/>
        </w:rPr>
        <w:t xml:space="preserve">Paul F. Bradshaw and Maxwell E. Johnson, </w:t>
      </w:r>
      <w:r w:rsidRPr="0029031A">
        <w:rPr>
          <w:i/>
          <w:iCs/>
          <w:sz w:val="28"/>
          <w:szCs w:val="28"/>
        </w:rPr>
        <w:t>The Origins of Feasts, Fasts and Seasons in Early Christianity</w:t>
      </w:r>
      <w:r w:rsidRPr="0029031A">
        <w:rPr>
          <w:sz w:val="28"/>
          <w:szCs w:val="28"/>
        </w:rPr>
        <w:t xml:space="preserve"> (Collegeville: Liturgical Press, 2011), </w:t>
      </w:r>
      <w:bookmarkEnd w:id="0"/>
      <w:r w:rsidRPr="0029031A">
        <w:rPr>
          <w:sz w:val="28"/>
          <w:szCs w:val="28"/>
        </w:rPr>
        <w:t>86.</w:t>
      </w:r>
    </w:p>
  </w:footnote>
  <w:footnote w:id="2">
    <w:p w14:paraId="0297C174" w14:textId="2AA65CDE" w:rsidR="00893548" w:rsidRPr="00893548" w:rsidRDefault="00893548" w:rsidP="00893548">
      <w:pPr>
        <w:rPr>
          <w:sz w:val="28"/>
          <w:szCs w:val="28"/>
        </w:rPr>
      </w:pPr>
      <w:r w:rsidRPr="00893548">
        <w:rPr>
          <w:rStyle w:val="FootnoteReference"/>
          <w:sz w:val="28"/>
          <w:szCs w:val="28"/>
        </w:rPr>
        <w:footnoteRef/>
      </w:r>
      <w:r w:rsidRPr="00893548">
        <w:rPr>
          <w:sz w:val="28"/>
          <w:szCs w:val="28"/>
        </w:rPr>
        <w:t xml:space="preserve"> Aidan Kavanagh, </w:t>
      </w:r>
      <w:r w:rsidRPr="00893548">
        <w:rPr>
          <w:i/>
          <w:sz w:val="28"/>
          <w:szCs w:val="28"/>
        </w:rPr>
        <w:t>The Shape of Baptism: The Rite of Christian Initiation</w:t>
      </w:r>
      <w:r w:rsidRPr="00893548">
        <w:rPr>
          <w:sz w:val="28"/>
          <w:szCs w:val="28"/>
        </w:rPr>
        <w:t xml:space="preserve"> (New York: Pueblo Publishing Company, 1978).</w:t>
      </w:r>
    </w:p>
  </w:footnote>
  <w:footnote w:id="3">
    <w:p w14:paraId="42E3D5FC" w14:textId="3E20EC42" w:rsidR="00893548" w:rsidRPr="00893548" w:rsidRDefault="00893548" w:rsidP="00893548">
      <w:pPr>
        <w:rPr>
          <w:sz w:val="28"/>
          <w:szCs w:val="28"/>
        </w:rPr>
      </w:pPr>
      <w:r w:rsidRPr="00893548">
        <w:rPr>
          <w:rStyle w:val="FootnoteReference"/>
          <w:sz w:val="28"/>
          <w:szCs w:val="28"/>
        </w:rPr>
        <w:footnoteRef/>
      </w:r>
      <w:r w:rsidRPr="00893548">
        <w:rPr>
          <w:sz w:val="28"/>
          <w:szCs w:val="28"/>
        </w:rPr>
        <w:t xml:space="preserve"> Aidan Kavanagh, </w:t>
      </w:r>
      <w:r w:rsidRPr="00893548">
        <w:rPr>
          <w:i/>
          <w:sz w:val="28"/>
          <w:szCs w:val="28"/>
        </w:rPr>
        <w:t xml:space="preserve">Elements of Rite: A Handbook of Liturgical Style </w:t>
      </w:r>
      <w:r w:rsidRPr="00893548">
        <w:rPr>
          <w:sz w:val="28"/>
          <w:szCs w:val="28"/>
        </w:rPr>
        <w:t>(New York: Pueblo Publishing Company, 1982).</w:t>
      </w:r>
    </w:p>
  </w:footnote>
  <w:footnote w:id="4">
    <w:p w14:paraId="607B7EF2" w14:textId="1F31EFB2" w:rsidR="00893548" w:rsidRPr="00893548" w:rsidRDefault="00893548">
      <w:pPr>
        <w:pStyle w:val="FootnoteText"/>
        <w:rPr>
          <w:sz w:val="28"/>
        </w:rPr>
      </w:pPr>
      <w:r w:rsidRPr="00893548">
        <w:rPr>
          <w:rStyle w:val="FootnoteReference"/>
          <w:sz w:val="28"/>
        </w:rPr>
        <w:footnoteRef/>
      </w:r>
      <w:r w:rsidRPr="00893548">
        <w:rPr>
          <w:sz w:val="28"/>
        </w:rPr>
        <w:t xml:space="preserve"> Ibid., 26.</w:t>
      </w:r>
    </w:p>
  </w:footnote>
  <w:footnote w:id="5">
    <w:p w14:paraId="7C829612" w14:textId="09B37D70" w:rsidR="00893548" w:rsidRPr="00524612" w:rsidRDefault="00893548">
      <w:pPr>
        <w:pStyle w:val="FootnoteText"/>
        <w:rPr>
          <w:sz w:val="28"/>
        </w:rPr>
      </w:pPr>
      <w:r w:rsidRPr="00524612">
        <w:rPr>
          <w:rStyle w:val="FootnoteReference"/>
          <w:sz w:val="28"/>
        </w:rPr>
        <w:footnoteRef/>
      </w:r>
      <w:r w:rsidRPr="00524612">
        <w:rPr>
          <w:sz w:val="28"/>
        </w:rPr>
        <w:t xml:space="preserve"> Luke 16:</w:t>
      </w:r>
      <w:r w:rsidR="00524612" w:rsidRPr="00524612">
        <w:rPr>
          <w:sz w:val="28"/>
        </w:rPr>
        <w:t>14.</w:t>
      </w:r>
    </w:p>
  </w:footnote>
  <w:footnote w:id="6">
    <w:p w14:paraId="54EBB5A8" w14:textId="7E36121B" w:rsidR="00524612" w:rsidRPr="00524612" w:rsidRDefault="00524612" w:rsidP="00524612">
      <w:pPr>
        <w:rPr>
          <w:sz w:val="28"/>
          <w:szCs w:val="28"/>
        </w:rPr>
      </w:pPr>
      <w:r w:rsidRPr="00524612">
        <w:rPr>
          <w:rStyle w:val="FootnoteReference"/>
          <w:sz w:val="28"/>
          <w:szCs w:val="28"/>
        </w:rPr>
        <w:footnoteRef/>
      </w:r>
      <w:r w:rsidRPr="00524612">
        <w:rPr>
          <w:sz w:val="28"/>
          <w:szCs w:val="28"/>
        </w:rPr>
        <w:t xml:space="preserve"> Luke Timothy Johnson, </w:t>
      </w:r>
      <w:r w:rsidRPr="00524612">
        <w:rPr>
          <w:i/>
          <w:sz w:val="28"/>
          <w:szCs w:val="28"/>
        </w:rPr>
        <w:t>The Acts of the Apostles,</w:t>
      </w:r>
      <w:r w:rsidRPr="00524612">
        <w:rPr>
          <w:sz w:val="28"/>
          <w:szCs w:val="28"/>
        </w:rPr>
        <w:t xml:space="preserve"> Sacra Pagina (Collegeville: Liturgical Press, 1992)</w:t>
      </w:r>
      <w:r>
        <w:rPr>
          <w:sz w:val="28"/>
          <w:szCs w:val="28"/>
        </w:rPr>
        <w:t>, 293.</w:t>
      </w:r>
    </w:p>
  </w:footnote>
  <w:footnote w:id="7">
    <w:p w14:paraId="4B436F74" w14:textId="582C00AC" w:rsidR="0002281E" w:rsidRPr="0002281E" w:rsidRDefault="0002281E">
      <w:pPr>
        <w:pStyle w:val="FootnoteText"/>
        <w:rPr>
          <w:sz w:val="28"/>
        </w:rPr>
      </w:pPr>
      <w:r w:rsidRPr="0002281E">
        <w:rPr>
          <w:rStyle w:val="FootnoteReference"/>
          <w:sz w:val="28"/>
        </w:rPr>
        <w:footnoteRef/>
      </w:r>
      <w:r w:rsidRPr="0002281E">
        <w:rPr>
          <w:sz w:val="28"/>
        </w:rPr>
        <w:t xml:space="preserve"> Luke 24:13–35.</w:t>
      </w:r>
    </w:p>
  </w:footnote>
  <w:footnote w:id="8">
    <w:p w14:paraId="239BEDB2" w14:textId="5034A717" w:rsidR="0002281E" w:rsidRPr="0029031A" w:rsidRDefault="0002281E">
      <w:pPr>
        <w:pStyle w:val="FootnoteText"/>
        <w:rPr>
          <w:sz w:val="28"/>
          <w:szCs w:val="28"/>
        </w:rPr>
      </w:pPr>
      <w:r w:rsidRPr="0029031A">
        <w:rPr>
          <w:rStyle w:val="FootnoteReference"/>
          <w:sz w:val="28"/>
          <w:szCs w:val="28"/>
        </w:rPr>
        <w:footnoteRef/>
      </w:r>
      <w:r w:rsidRPr="0029031A">
        <w:rPr>
          <w:sz w:val="28"/>
          <w:szCs w:val="28"/>
        </w:rPr>
        <w:t xml:space="preserve"> Luke 24:32.</w:t>
      </w:r>
    </w:p>
  </w:footnote>
  <w:footnote w:id="9">
    <w:p w14:paraId="7B45EE5E" w14:textId="24F9E793" w:rsidR="0002281E" w:rsidRPr="0002281E" w:rsidRDefault="0002281E">
      <w:pPr>
        <w:pStyle w:val="FootnoteText"/>
        <w:rPr>
          <w:sz w:val="28"/>
        </w:rPr>
      </w:pPr>
      <w:r w:rsidRPr="0002281E">
        <w:rPr>
          <w:rStyle w:val="FootnoteReference"/>
          <w:sz w:val="28"/>
        </w:rPr>
        <w:footnoteRef/>
      </w:r>
      <w:r w:rsidRPr="0002281E">
        <w:rPr>
          <w:sz w:val="28"/>
        </w:rPr>
        <w:t xml:space="preserve"> Luke 24:45.</w:t>
      </w:r>
    </w:p>
  </w:footnote>
  <w:footnote w:id="10">
    <w:p w14:paraId="3E4DBBC8" w14:textId="688683E7" w:rsidR="00BE1F06" w:rsidRPr="00BE1F06" w:rsidRDefault="00BE1F06">
      <w:pPr>
        <w:pStyle w:val="FootnoteText"/>
        <w:rPr>
          <w:sz w:val="28"/>
        </w:rPr>
      </w:pPr>
      <w:r w:rsidRPr="00BE1F06">
        <w:rPr>
          <w:rStyle w:val="FootnoteReference"/>
          <w:sz w:val="28"/>
        </w:rPr>
        <w:footnoteRef/>
      </w:r>
      <w:r w:rsidRPr="00BE1F06">
        <w:rPr>
          <w:sz w:val="28"/>
        </w:rPr>
        <w:t xml:space="preserve"> </w:t>
      </w:r>
      <w:hyperlink r:id="rId1" w:history="1">
        <w:r w:rsidRPr="00BE1F06">
          <w:rPr>
            <w:rStyle w:val="Hyperlink"/>
            <w:sz w:val="28"/>
          </w:rPr>
          <w:t>https://quod.lib.umich.edu/cgi/r/rsv/rsv-idx?type=simple&amp;format=Long&amp;q1=harden&amp;restrict=Old+Testament&amp;size=First+100</w:t>
        </w:r>
      </w:hyperlink>
      <w:r w:rsidRPr="00BE1F06">
        <w:rPr>
          <w:sz w:val="28"/>
        </w:rPr>
        <w:t>, (accessed 18 May 2020).</w:t>
      </w:r>
    </w:p>
  </w:footnote>
  <w:footnote w:id="11">
    <w:p w14:paraId="40327C6A" w14:textId="272BBEE9" w:rsidR="004C3BC7" w:rsidRDefault="004C3BC7" w:rsidP="00DD2FB3">
      <w:pPr>
        <w:pStyle w:val="FootnoteText"/>
        <w:rPr>
          <w:rFonts w:cstheme="minorBidi"/>
          <w:sz w:val="28"/>
        </w:rPr>
      </w:pPr>
      <w:r>
        <w:rPr>
          <w:rStyle w:val="FootnoteReference"/>
          <w:sz w:val="28"/>
        </w:rPr>
        <w:footnoteRef/>
      </w:r>
      <w:r>
        <w:rPr>
          <w:sz w:val="28"/>
        </w:rPr>
        <w:t xml:space="preserve"> </w:t>
      </w:r>
      <w:bookmarkStart w:id="2" w:name="_Hlk512756794"/>
      <w:r w:rsidR="00DD2FB3">
        <w:rPr>
          <w:sz w:val="28"/>
          <w:szCs w:val="28"/>
        </w:rPr>
        <w:t xml:space="preserve">Raymond E. Brown, </w:t>
      </w:r>
      <w:r w:rsidR="00DD2FB3">
        <w:rPr>
          <w:i/>
          <w:sz w:val="28"/>
          <w:szCs w:val="28"/>
        </w:rPr>
        <w:t>The Gospel According to John,</w:t>
      </w:r>
      <w:r w:rsidR="00DD2FB3">
        <w:rPr>
          <w:sz w:val="28"/>
          <w:szCs w:val="28"/>
        </w:rPr>
        <w:t xml:space="preserve"> Anchor Bible 29, 29A (Garden City: Doubleday &amp; Company, Inc., 1966, 1970), I:484</w:t>
      </w:r>
      <w:bookmarkEnd w:id="2"/>
      <w:r>
        <w:rPr>
          <w:sz w:val="28"/>
        </w:rPr>
        <w:t>.</w:t>
      </w:r>
    </w:p>
  </w:footnote>
  <w:footnote w:id="12">
    <w:p w14:paraId="1A357B41" w14:textId="1C2D53ED" w:rsidR="00DD2FB3" w:rsidRPr="00DD2FB3" w:rsidRDefault="00DD2FB3" w:rsidP="00DD2FB3">
      <w:pPr>
        <w:pStyle w:val="Footer"/>
        <w:rPr>
          <w:sz w:val="28"/>
          <w:szCs w:val="28"/>
        </w:rPr>
      </w:pPr>
      <w:r w:rsidRPr="00DD2FB3">
        <w:rPr>
          <w:rStyle w:val="FootnoteReference"/>
          <w:sz w:val="28"/>
          <w:szCs w:val="28"/>
        </w:rPr>
        <w:footnoteRef/>
      </w:r>
      <w:r w:rsidRPr="00DD2FB3">
        <w:rPr>
          <w:sz w:val="28"/>
          <w:szCs w:val="28"/>
        </w:rPr>
        <w:t xml:space="preserve"> </w:t>
      </w:r>
      <w:bookmarkStart w:id="3" w:name="_Hlk11594207"/>
      <w:r w:rsidRPr="00DD2FB3">
        <w:rPr>
          <w:i/>
          <w:sz w:val="28"/>
          <w:szCs w:val="28"/>
        </w:rPr>
        <w:t>A Greek-English Lexicon of New Testament and Other Early Christian Literature</w:t>
      </w:r>
      <w:r w:rsidRPr="00DD2FB3">
        <w:rPr>
          <w:sz w:val="28"/>
          <w:szCs w:val="28"/>
        </w:rPr>
        <w:t xml:space="preserve">, 3rd ed. (BDAG) (Chicago: University of Chicago Press, 2000), </w:t>
      </w:r>
      <w:r w:rsidRPr="00DD2FB3">
        <w:rPr>
          <w:i/>
          <w:iCs/>
          <w:sz w:val="28"/>
          <w:szCs w:val="28"/>
        </w:rPr>
        <w:t>s.v.</w:t>
      </w:r>
      <w:r w:rsidRPr="00DD2FB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“</w:t>
      </w:r>
      <w:r w:rsidRPr="00DD2FB3">
        <w:rPr>
          <w:i/>
          <w:sz w:val="28"/>
          <w:szCs w:val="28"/>
          <w:lang w:val="el-GR"/>
        </w:rPr>
        <w:t>καρδ</w:t>
      </w:r>
      <w:r w:rsidRPr="00DD2FB3">
        <w:rPr>
          <w:i/>
          <w:sz w:val="28"/>
          <w:szCs w:val="28"/>
        </w:rPr>
        <w:t>í</w:t>
      </w:r>
      <w:r w:rsidRPr="00DD2FB3">
        <w:rPr>
          <w:i/>
          <w:sz w:val="28"/>
          <w:szCs w:val="28"/>
          <w:lang w:val="el-GR"/>
        </w:rPr>
        <w:t>α</w:t>
      </w:r>
      <w:r>
        <w:rPr>
          <w:i/>
          <w:sz w:val="28"/>
          <w:szCs w:val="28"/>
        </w:rPr>
        <w:t>,”</w:t>
      </w:r>
      <w:r w:rsidRPr="00DD2FB3">
        <w:rPr>
          <w:sz w:val="28"/>
          <w:szCs w:val="28"/>
        </w:rPr>
        <w:t xml:space="preserve"> </w:t>
      </w:r>
      <w:r>
        <w:rPr>
          <w:sz w:val="28"/>
          <w:szCs w:val="28"/>
        </w:rPr>
        <w:t>508–09.</w:t>
      </w:r>
      <w:bookmarkEnd w:id="3"/>
    </w:p>
  </w:footnote>
  <w:footnote w:id="13">
    <w:p w14:paraId="455AAEA5" w14:textId="582F538C" w:rsidR="00BC3903" w:rsidRPr="00BC3903" w:rsidRDefault="00BC3903">
      <w:pPr>
        <w:pStyle w:val="FootnoteText"/>
        <w:rPr>
          <w:sz w:val="28"/>
        </w:rPr>
      </w:pPr>
      <w:r w:rsidRPr="00BC3903">
        <w:rPr>
          <w:rStyle w:val="FootnoteReference"/>
          <w:sz w:val="28"/>
        </w:rPr>
        <w:footnoteRef/>
      </w:r>
      <w:r w:rsidRPr="00BC3903">
        <w:rPr>
          <w:sz w:val="28"/>
        </w:rPr>
        <w:t xml:space="preserve"> Romans 9:14.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603651"/>
      <w:docPartObj>
        <w:docPartGallery w:val="Page Numbers (Top of Page)"/>
        <w:docPartUnique/>
      </w:docPartObj>
    </w:sdtPr>
    <w:sdtEndPr>
      <w:rPr>
        <w:noProof/>
        <w:sz w:val="32"/>
      </w:rPr>
    </w:sdtEndPr>
    <w:sdtContent>
      <w:p w14:paraId="34D0CCD9" w14:textId="057034B5" w:rsidR="000D3E1F" w:rsidRPr="000D3E1F" w:rsidRDefault="000D3E1F">
        <w:pPr>
          <w:pStyle w:val="Header"/>
          <w:jc w:val="right"/>
          <w:rPr>
            <w:sz w:val="32"/>
          </w:rPr>
        </w:pPr>
        <w:r w:rsidRPr="000D3E1F">
          <w:rPr>
            <w:sz w:val="32"/>
          </w:rPr>
          <w:fldChar w:fldCharType="begin"/>
        </w:r>
        <w:r w:rsidRPr="000D3E1F">
          <w:rPr>
            <w:sz w:val="32"/>
          </w:rPr>
          <w:instrText xml:space="preserve"> PAGE   \* MERGEFORMAT </w:instrText>
        </w:r>
        <w:r w:rsidRPr="000D3E1F">
          <w:rPr>
            <w:sz w:val="32"/>
          </w:rPr>
          <w:fldChar w:fldCharType="separate"/>
        </w:r>
        <w:r w:rsidRPr="000D3E1F">
          <w:rPr>
            <w:noProof/>
            <w:sz w:val="32"/>
          </w:rPr>
          <w:t>2</w:t>
        </w:r>
        <w:r w:rsidRPr="000D3E1F">
          <w:rPr>
            <w:noProof/>
            <w:sz w:val="32"/>
          </w:rPr>
          <w:fldChar w:fldCharType="end"/>
        </w:r>
      </w:p>
    </w:sdtContent>
  </w:sdt>
  <w:p w14:paraId="4DA36DF9" w14:textId="77777777" w:rsidR="000D3E1F" w:rsidRDefault="000D3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AD"/>
    <w:rsid w:val="00002F8D"/>
    <w:rsid w:val="000064EE"/>
    <w:rsid w:val="00006C3A"/>
    <w:rsid w:val="00016C2D"/>
    <w:rsid w:val="0002281E"/>
    <w:rsid w:val="0003235D"/>
    <w:rsid w:val="000360CF"/>
    <w:rsid w:val="00055258"/>
    <w:rsid w:val="00072B2F"/>
    <w:rsid w:val="00072BF3"/>
    <w:rsid w:val="000A392A"/>
    <w:rsid w:val="000A484C"/>
    <w:rsid w:val="000A61C3"/>
    <w:rsid w:val="000C1776"/>
    <w:rsid w:val="000D3E1F"/>
    <w:rsid w:val="000D6E86"/>
    <w:rsid w:val="000E6C1C"/>
    <w:rsid w:val="000F360F"/>
    <w:rsid w:val="00107A3D"/>
    <w:rsid w:val="00110406"/>
    <w:rsid w:val="00127F3C"/>
    <w:rsid w:val="0013502E"/>
    <w:rsid w:val="00155FEB"/>
    <w:rsid w:val="00191827"/>
    <w:rsid w:val="00194E84"/>
    <w:rsid w:val="001A680A"/>
    <w:rsid w:val="001A6C38"/>
    <w:rsid w:val="001B2659"/>
    <w:rsid w:val="001F6C68"/>
    <w:rsid w:val="002022C7"/>
    <w:rsid w:val="00204707"/>
    <w:rsid w:val="00207E2A"/>
    <w:rsid w:val="00207EF8"/>
    <w:rsid w:val="0022114C"/>
    <w:rsid w:val="00243874"/>
    <w:rsid w:val="00252174"/>
    <w:rsid w:val="002531E1"/>
    <w:rsid w:val="002634BE"/>
    <w:rsid w:val="002719D9"/>
    <w:rsid w:val="002819E1"/>
    <w:rsid w:val="00282E11"/>
    <w:rsid w:val="002874EA"/>
    <w:rsid w:val="00290194"/>
    <w:rsid w:val="0029031A"/>
    <w:rsid w:val="00293E64"/>
    <w:rsid w:val="002B3D53"/>
    <w:rsid w:val="002C1323"/>
    <w:rsid w:val="002D3FEB"/>
    <w:rsid w:val="002E58F2"/>
    <w:rsid w:val="002F0CCB"/>
    <w:rsid w:val="00306F89"/>
    <w:rsid w:val="00321295"/>
    <w:rsid w:val="00373365"/>
    <w:rsid w:val="0039313C"/>
    <w:rsid w:val="003C6F38"/>
    <w:rsid w:val="003E0771"/>
    <w:rsid w:val="003F2978"/>
    <w:rsid w:val="0044195B"/>
    <w:rsid w:val="00451B21"/>
    <w:rsid w:val="004528F1"/>
    <w:rsid w:val="0045416C"/>
    <w:rsid w:val="004543C6"/>
    <w:rsid w:val="004567B3"/>
    <w:rsid w:val="00461084"/>
    <w:rsid w:val="00472E81"/>
    <w:rsid w:val="00486118"/>
    <w:rsid w:val="0048655F"/>
    <w:rsid w:val="00491294"/>
    <w:rsid w:val="0049652E"/>
    <w:rsid w:val="004C1F97"/>
    <w:rsid w:val="004C3BC7"/>
    <w:rsid w:val="004C4A7D"/>
    <w:rsid w:val="004E32E2"/>
    <w:rsid w:val="004F351F"/>
    <w:rsid w:val="00507F3B"/>
    <w:rsid w:val="00517611"/>
    <w:rsid w:val="00524612"/>
    <w:rsid w:val="00546227"/>
    <w:rsid w:val="00596D13"/>
    <w:rsid w:val="005B1C93"/>
    <w:rsid w:val="005B2DA8"/>
    <w:rsid w:val="005B6490"/>
    <w:rsid w:val="005B6FFE"/>
    <w:rsid w:val="005C274E"/>
    <w:rsid w:val="005D30D0"/>
    <w:rsid w:val="005D72DD"/>
    <w:rsid w:val="0060079F"/>
    <w:rsid w:val="00603C9B"/>
    <w:rsid w:val="00617DAD"/>
    <w:rsid w:val="00664088"/>
    <w:rsid w:val="006732FC"/>
    <w:rsid w:val="00677BD6"/>
    <w:rsid w:val="00685511"/>
    <w:rsid w:val="006857A8"/>
    <w:rsid w:val="006900B3"/>
    <w:rsid w:val="006B463A"/>
    <w:rsid w:val="006C3E1F"/>
    <w:rsid w:val="006C5AB5"/>
    <w:rsid w:val="006D5E51"/>
    <w:rsid w:val="006E7D0D"/>
    <w:rsid w:val="006F1822"/>
    <w:rsid w:val="006F2F5C"/>
    <w:rsid w:val="0070130D"/>
    <w:rsid w:val="007072C2"/>
    <w:rsid w:val="00716D8F"/>
    <w:rsid w:val="0072124F"/>
    <w:rsid w:val="00740DE1"/>
    <w:rsid w:val="00747AD2"/>
    <w:rsid w:val="007522B8"/>
    <w:rsid w:val="00777793"/>
    <w:rsid w:val="0078472D"/>
    <w:rsid w:val="00792C62"/>
    <w:rsid w:val="0079557C"/>
    <w:rsid w:val="007D0610"/>
    <w:rsid w:val="007E69E1"/>
    <w:rsid w:val="00805C5C"/>
    <w:rsid w:val="00821EA2"/>
    <w:rsid w:val="00830088"/>
    <w:rsid w:val="00831ACA"/>
    <w:rsid w:val="008408A9"/>
    <w:rsid w:val="00871289"/>
    <w:rsid w:val="00875C37"/>
    <w:rsid w:val="00876E73"/>
    <w:rsid w:val="008826F2"/>
    <w:rsid w:val="00892678"/>
    <w:rsid w:val="00893548"/>
    <w:rsid w:val="008A0DF7"/>
    <w:rsid w:val="008A64AF"/>
    <w:rsid w:val="008A7BDA"/>
    <w:rsid w:val="008B057B"/>
    <w:rsid w:val="008C736A"/>
    <w:rsid w:val="008D2753"/>
    <w:rsid w:val="008D678D"/>
    <w:rsid w:val="008D7BD0"/>
    <w:rsid w:val="00911304"/>
    <w:rsid w:val="00913FB7"/>
    <w:rsid w:val="00922DCA"/>
    <w:rsid w:val="009348B4"/>
    <w:rsid w:val="00944B06"/>
    <w:rsid w:val="00951289"/>
    <w:rsid w:val="009555D8"/>
    <w:rsid w:val="0095697C"/>
    <w:rsid w:val="00960CBD"/>
    <w:rsid w:val="00967729"/>
    <w:rsid w:val="0096799E"/>
    <w:rsid w:val="00992CAB"/>
    <w:rsid w:val="009D4BAD"/>
    <w:rsid w:val="00A146E3"/>
    <w:rsid w:val="00A15E05"/>
    <w:rsid w:val="00A417E5"/>
    <w:rsid w:val="00A5023A"/>
    <w:rsid w:val="00A601C9"/>
    <w:rsid w:val="00A7132B"/>
    <w:rsid w:val="00A80AA7"/>
    <w:rsid w:val="00A8611C"/>
    <w:rsid w:val="00A927E2"/>
    <w:rsid w:val="00A93E43"/>
    <w:rsid w:val="00A94CED"/>
    <w:rsid w:val="00AA1BD5"/>
    <w:rsid w:val="00AA53E2"/>
    <w:rsid w:val="00AB4AB2"/>
    <w:rsid w:val="00AB7B9C"/>
    <w:rsid w:val="00AC56B5"/>
    <w:rsid w:val="00AD0501"/>
    <w:rsid w:val="00AD07B7"/>
    <w:rsid w:val="00AD28FB"/>
    <w:rsid w:val="00AD3911"/>
    <w:rsid w:val="00AD581A"/>
    <w:rsid w:val="00AD61DF"/>
    <w:rsid w:val="00AF0B4A"/>
    <w:rsid w:val="00AF40E9"/>
    <w:rsid w:val="00B0503E"/>
    <w:rsid w:val="00B16C4C"/>
    <w:rsid w:val="00B26110"/>
    <w:rsid w:val="00B47441"/>
    <w:rsid w:val="00B70A28"/>
    <w:rsid w:val="00B72BDC"/>
    <w:rsid w:val="00B77F7F"/>
    <w:rsid w:val="00B87F32"/>
    <w:rsid w:val="00BA4F3E"/>
    <w:rsid w:val="00BB106B"/>
    <w:rsid w:val="00BC3903"/>
    <w:rsid w:val="00BC39CE"/>
    <w:rsid w:val="00BC4AA0"/>
    <w:rsid w:val="00BD4717"/>
    <w:rsid w:val="00BD770C"/>
    <w:rsid w:val="00BE1F06"/>
    <w:rsid w:val="00BE5FC1"/>
    <w:rsid w:val="00BF3906"/>
    <w:rsid w:val="00C312A2"/>
    <w:rsid w:val="00C3775F"/>
    <w:rsid w:val="00C40F46"/>
    <w:rsid w:val="00C4575B"/>
    <w:rsid w:val="00C46B59"/>
    <w:rsid w:val="00C47963"/>
    <w:rsid w:val="00C66772"/>
    <w:rsid w:val="00C6713E"/>
    <w:rsid w:val="00C80D0D"/>
    <w:rsid w:val="00C81F87"/>
    <w:rsid w:val="00CB628F"/>
    <w:rsid w:val="00CC3A1D"/>
    <w:rsid w:val="00CC3BDD"/>
    <w:rsid w:val="00CE28E8"/>
    <w:rsid w:val="00CF0663"/>
    <w:rsid w:val="00CF2FA9"/>
    <w:rsid w:val="00D06FC0"/>
    <w:rsid w:val="00D33FC9"/>
    <w:rsid w:val="00D43518"/>
    <w:rsid w:val="00D540F0"/>
    <w:rsid w:val="00D550E2"/>
    <w:rsid w:val="00D845AA"/>
    <w:rsid w:val="00D86AB0"/>
    <w:rsid w:val="00D91B82"/>
    <w:rsid w:val="00DB2B30"/>
    <w:rsid w:val="00DC5335"/>
    <w:rsid w:val="00DC69FD"/>
    <w:rsid w:val="00DD2FB3"/>
    <w:rsid w:val="00DD6EB9"/>
    <w:rsid w:val="00DE0651"/>
    <w:rsid w:val="00DF50BF"/>
    <w:rsid w:val="00E22817"/>
    <w:rsid w:val="00E32883"/>
    <w:rsid w:val="00E54681"/>
    <w:rsid w:val="00E54867"/>
    <w:rsid w:val="00E60BE2"/>
    <w:rsid w:val="00E77769"/>
    <w:rsid w:val="00E941F0"/>
    <w:rsid w:val="00E9735B"/>
    <w:rsid w:val="00EB688E"/>
    <w:rsid w:val="00ED6DAC"/>
    <w:rsid w:val="00EE2AB6"/>
    <w:rsid w:val="00EF0AC6"/>
    <w:rsid w:val="00F031D6"/>
    <w:rsid w:val="00F05073"/>
    <w:rsid w:val="00F122FC"/>
    <w:rsid w:val="00F16135"/>
    <w:rsid w:val="00F16BBF"/>
    <w:rsid w:val="00F20753"/>
    <w:rsid w:val="00F37E70"/>
    <w:rsid w:val="00F41892"/>
    <w:rsid w:val="00F470FD"/>
    <w:rsid w:val="00F53608"/>
    <w:rsid w:val="00F53AC6"/>
    <w:rsid w:val="00F60DCE"/>
    <w:rsid w:val="00F84C39"/>
    <w:rsid w:val="00F915E7"/>
    <w:rsid w:val="00FA4121"/>
    <w:rsid w:val="00FB4B4F"/>
    <w:rsid w:val="00FE1F11"/>
    <w:rsid w:val="00FF32FE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7E7F6"/>
  <w15:chartTrackingRefBased/>
  <w15:docId w15:val="{F8479888-8A47-444D-99B6-A59CA3AC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44"/>
        <w:szCs w:val="4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D4BAD"/>
    <w:pPr>
      <w:tabs>
        <w:tab w:val="center" w:pos="4320"/>
        <w:tab w:val="right" w:pos="8640"/>
      </w:tabs>
    </w:pPr>
    <w:rPr>
      <w:rFonts w:eastAsia="Times New Roman"/>
      <w:bCs/>
    </w:rPr>
  </w:style>
  <w:style w:type="character" w:customStyle="1" w:styleId="FooterChar">
    <w:name w:val="Footer Char"/>
    <w:basedOn w:val="DefaultParagraphFont"/>
    <w:link w:val="Footer"/>
    <w:rsid w:val="009D4BAD"/>
    <w:rPr>
      <w:rFonts w:eastAsia="Times New Roman" w:cs="Times New Roman"/>
      <w:bCs/>
      <w:sz w:val="44"/>
      <w:szCs w:val="44"/>
    </w:rPr>
  </w:style>
  <w:style w:type="paragraph" w:styleId="FootnoteText">
    <w:name w:val="footnote text"/>
    <w:basedOn w:val="Normal"/>
    <w:link w:val="FootnoteTextChar"/>
    <w:uiPriority w:val="99"/>
    <w:unhideWhenUsed/>
    <w:rsid w:val="00D550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50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0E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550E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D3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E1F"/>
  </w:style>
  <w:style w:type="paragraph" w:styleId="BalloonText">
    <w:name w:val="Balloon Text"/>
    <w:basedOn w:val="Normal"/>
    <w:link w:val="BalloonTextChar"/>
    <w:uiPriority w:val="99"/>
    <w:semiHidden/>
    <w:unhideWhenUsed/>
    <w:rsid w:val="00F60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C5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BB106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6C1C"/>
    <w:rPr>
      <w:color w:val="954F72" w:themeColor="followedHyperlink"/>
      <w:u w:val="single"/>
    </w:rPr>
  </w:style>
  <w:style w:type="character" w:customStyle="1" w:styleId="content">
    <w:name w:val="content"/>
    <w:basedOn w:val="DefaultParagraphFont"/>
    <w:rsid w:val="00EE2AB6"/>
  </w:style>
  <w:style w:type="character" w:customStyle="1" w:styleId="label">
    <w:name w:val="label"/>
    <w:basedOn w:val="DefaultParagraphFont"/>
    <w:rsid w:val="00EE2AB6"/>
  </w:style>
  <w:style w:type="character" w:customStyle="1" w:styleId="medium-font">
    <w:name w:val="medium-font"/>
    <w:basedOn w:val="DefaultParagraphFont"/>
    <w:rsid w:val="00E60BE2"/>
  </w:style>
  <w:style w:type="character" w:customStyle="1" w:styleId="standard-view-style">
    <w:name w:val="standard-view-style"/>
    <w:basedOn w:val="DefaultParagraphFont"/>
    <w:rsid w:val="00E6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quod.lib.umich.edu/cgi/r/rsv/rsv-idx?type=simple&amp;format=Long&amp;q1=harden&amp;restrict=Old+Testament&amp;size=First+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F9C08-CD31-42C9-9E8D-4C3EF7EA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Gerth</dc:creator>
  <cp:keywords/>
  <dc:description/>
  <cp:lastModifiedBy>Stephen Gerth</cp:lastModifiedBy>
  <cp:revision>8</cp:revision>
  <cp:lastPrinted>2020-05-18T13:32:00Z</cp:lastPrinted>
  <dcterms:created xsi:type="dcterms:W3CDTF">2020-05-18T12:01:00Z</dcterms:created>
  <dcterms:modified xsi:type="dcterms:W3CDTF">2020-05-26T13:10:00Z</dcterms:modified>
</cp:coreProperties>
</file>